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fonts/font22.odttf" ContentType="application/vnd.openxmlformats-officedocument.obfuscatedFont"/>
  <Override PartName="/word/fonts/font23.odttf" ContentType="application/vnd.openxmlformats-officedocument.obfuscatedFont"/>
  <Override PartName="/word/fonts/font24.odttf" ContentType="application/vnd.openxmlformats-officedocument.obfuscatedFont"/>
  <Override PartName="/word/fonts/font25.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7D6EE">
      <w:pPr>
        <w:pStyle w:val="88"/>
        <w:ind w:firstLine="897" w:firstLineChars="374"/>
        <w:rPr>
          <w:rFonts w:hint="eastAsia"/>
          <w:color w:val="auto"/>
        </w:rPr>
      </w:pPr>
      <w:r>
        <w:rPr>
          <w:rFonts w:hint="eastAsia"/>
          <w:color w:val="auto"/>
        </w:rPr>
        <w:drawing>
          <wp:anchor distT="0" distB="0" distL="0" distR="0" simplePos="0" relativeHeight="251666432" behindDoc="0" locked="0" layoutInCell="1" allowOverlap="1">
            <wp:simplePos x="0" y="0"/>
            <wp:positionH relativeFrom="margin">
              <wp:posOffset>4291330</wp:posOffset>
            </wp:positionH>
            <wp:positionV relativeFrom="paragraph">
              <wp:posOffset>-429260</wp:posOffset>
            </wp:positionV>
            <wp:extent cx="1647190" cy="411480"/>
            <wp:effectExtent l="0" t="0" r="3810" b="7620"/>
            <wp:wrapNone/>
            <wp:docPr id="1027" name="图片 93185"/>
            <wp:cNvGraphicFramePr/>
            <a:graphic xmlns:a="http://schemas.openxmlformats.org/drawingml/2006/main">
              <a:graphicData uri="http://schemas.openxmlformats.org/drawingml/2006/picture">
                <pic:pic xmlns:pic="http://schemas.openxmlformats.org/drawingml/2006/picture">
                  <pic:nvPicPr>
                    <pic:cNvPr id="1027" name="图片 93185"/>
                    <pic:cNvPicPr/>
                  </pic:nvPicPr>
                  <pic:blipFill>
                    <a:blip r:embed="rId22" cstate="print"/>
                    <a:srcRect/>
                    <a:stretch>
                      <a:fillRect/>
                    </a:stretch>
                  </pic:blipFill>
                  <pic:spPr>
                    <a:xfrm>
                      <a:off x="0" y="0"/>
                      <a:ext cx="1647190" cy="411480"/>
                    </a:xfrm>
                    <a:prstGeom prst="rect">
                      <a:avLst/>
                    </a:prstGeom>
                    <a:ln>
                      <a:noFill/>
                    </a:ln>
                  </pic:spPr>
                </pic:pic>
              </a:graphicData>
            </a:graphic>
          </wp:anchor>
        </w:drawing>
      </w:r>
      <w:r>
        <w:rPr>
          <w:rFonts w:hint="eastAsia"/>
          <w:color w:val="auto"/>
        </w:rPr>
        <w:drawing>
          <wp:anchor distT="0" distB="0" distL="0" distR="0" simplePos="0" relativeHeight="251659264" behindDoc="1" locked="0" layoutInCell="1" allowOverlap="1">
            <wp:simplePos x="0" y="0"/>
            <wp:positionH relativeFrom="column">
              <wp:posOffset>-1143000</wp:posOffset>
            </wp:positionH>
            <wp:positionV relativeFrom="paragraph">
              <wp:posOffset>-891540</wp:posOffset>
            </wp:positionV>
            <wp:extent cx="3646805" cy="5238115"/>
            <wp:effectExtent l="0" t="0" r="10795" b="4445"/>
            <wp:wrapNone/>
            <wp:docPr id="1026" name="图片 93187"/>
            <wp:cNvGraphicFramePr/>
            <a:graphic xmlns:a="http://schemas.openxmlformats.org/drawingml/2006/main">
              <a:graphicData uri="http://schemas.openxmlformats.org/drawingml/2006/picture">
                <pic:pic xmlns:pic="http://schemas.openxmlformats.org/drawingml/2006/picture">
                  <pic:nvPicPr>
                    <pic:cNvPr id="1026" name="图片 93187"/>
                    <pic:cNvPicPr/>
                  </pic:nvPicPr>
                  <pic:blipFill>
                    <a:blip r:embed="rId23" cstate="print"/>
                    <a:srcRect/>
                    <a:stretch>
                      <a:fillRect/>
                    </a:stretch>
                  </pic:blipFill>
                  <pic:spPr>
                    <a:xfrm>
                      <a:off x="0" y="0"/>
                      <a:ext cx="3646805" cy="5238115"/>
                    </a:xfrm>
                    <a:prstGeom prst="rect">
                      <a:avLst/>
                    </a:prstGeom>
                    <a:ln>
                      <a:noFill/>
                    </a:ln>
                  </pic:spPr>
                </pic:pic>
              </a:graphicData>
            </a:graphic>
          </wp:anchor>
        </w:drawing>
      </w:r>
    </w:p>
    <w:p w14:paraId="75B7D6EF">
      <w:pPr>
        <w:ind w:firstLine="0" w:firstLineChars="0"/>
        <w:rPr>
          <w:rFonts w:hint="eastAsia" w:ascii="方正仿宋_GBK" w:hAnsi="方正仿宋_GBK" w:eastAsia="方正仿宋_GBK" w:cs="方正仿宋_GBK"/>
          <w:b/>
          <w:bCs/>
          <w:sz w:val="44"/>
          <w:szCs w:val="44"/>
        </w:rPr>
      </w:pPr>
    </w:p>
    <w:p w14:paraId="75B7D6F0">
      <w:pPr>
        <w:ind w:firstLine="0" w:firstLineChars="0"/>
        <w:rPr>
          <w:rFonts w:hint="eastAsia" w:ascii="方正仿宋_GBK" w:hAnsi="方正仿宋_GBK" w:eastAsia="方正仿宋_GBK" w:cs="方正仿宋_GBK"/>
          <w:b/>
          <w:bCs/>
          <w:sz w:val="44"/>
          <w:szCs w:val="44"/>
        </w:rPr>
      </w:pPr>
    </w:p>
    <w:p w14:paraId="75B7D6F1">
      <w:pPr>
        <w:ind w:firstLine="0" w:firstLineChars="0"/>
        <w:jc w:val="center"/>
        <w:rPr>
          <w:rFonts w:hint="eastAsia" w:ascii="方正小标宋_GBK" w:hAnsi="方正小标宋_GBK" w:eastAsia="方正小标宋_GBK" w:cs="方正小标宋_GBK"/>
          <w:sz w:val="44"/>
          <w:szCs w:val="44"/>
        </w:rPr>
      </w:pPr>
    </w:p>
    <w:p w14:paraId="75B7D6F2">
      <w:pPr>
        <w:widowControl/>
        <w:kinsoku w:val="0"/>
        <w:adjustRightInd w:val="0"/>
        <w:snapToGrid w:val="0"/>
        <w:spacing w:line="560" w:lineRule="exact"/>
        <w:ind w:firstLine="0" w:firstLineChars="0"/>
        <w:jc w:val="center"/>
        <w:textAlignment w:val="baseline"/>
        <w:rPr>
          <w:rFonts w:hint="eastAsia" w:ascii="仿宋" w:hAnsi="仿宋" w:eastAsia="仿宋" w:cs="仿宋"/>
          <w:b/>
          <w:bCs/>
          <w:snapToGrid w:val="0"/>
          <w:sz w:val="52"/>
          <w:szCs w:val="52"/>
        </w:rPr>
      </w:pPr>
    </w:p>
    <w:p w14:paraId="0A61BD7D">
      <w:pPr>
        <w:widowControl/>
        <w:kinsoku w:val="0"/>
        <w:adjustRightInd w:val="0"/>
        <w:snapToGrid w:val="0"/>
        <w:spacing w:line="360" w:lineRule="auto"/>
        <w:ind w:firstLine="0" w:firstLineChars="0"/>
        <w:jc w:val="center"/>
        <w:textAlignment w:val="baseline"/>
        <w:rPr>
          <w:rFonts w:hint="eastAsia" w:ascii="仿宋" w:hAnsi="仿宋" w:eastAsia="仿宋" w:cs="仿宋"/>
          <w:b/>
          <w:bCs/>
          <w:snapToGrid w:val="0"/>
          <w:sz w:val="52"/>
          <w:szCs w:val="52"/>
        </w:rPr>
      </w:pPr>
      <w:r>
        <w:rPr>
          <w:rFonts w:hint="eastAsia" w:ascii="仿宋" w:hAnsi="仿宋" w:eastAsia="仿宋" w:cs="仿宋"/>
          <w:b/>
          <w:bCs/>
          <w:snapToGrid w:val="0"/>
          <w:sz w:val="52"/>
          <w:szCs w:val="52"/>
        </w:rPr>
        <w:t>湖南省岳阳市森林火灾高风险区</w:t>
      </w:r>
    </w:p>
    <w:p w14:paraId="0149B841">
      <w:pPr>
        <w:widowControl/>
        <w:kinsoku w:val="0"/>
        <w:adjustRightInd w:val="0"/>
        <w:snapToGrid w:val="0"/>
        <w:spacing w:line="360" w:lineRule="auto"/>
        <w:ind w:firstLine="0" w:firstLineChars="0"/>
        <w:jc w:val="center"/>
        <w:textAlignment w:val="baseline"/>
        <w:rPr>
          <w:rFonts w:hint="default" w:ascii="仿宋" w:hAnsi="仿宋" w:eastAsia="仿宋" w:cs="仿宋"/>
          <w:b/>
          <w:bCs/>
          <w:snapToGrid w:val="0"/>
          <w:sz w:val="52"/>
          <w:szCs w:val="52"/>
          <w:lang w:val="en-US" w:eastAsia="zh-CN"/>
        </w:rPr>
      </w:pPr>
      <w:r>
        <w:rPr>
          <w:rFonts w:hint="eastAsia" w:ascii="仿宋" w:hAnsi="仿宋" w:eastAsia="仿宋" w:cs="仿宋"/>
          <w:b/>
          <w:bCs/>
          <w:snapToGrid w:val="0"/>
          <w:sz w:val="52"/>
          <w:szCs w:val="52"/>
        </w:rPr>
        <w:t>综合治理</w:t>
      </w:r>
      <w:r>
        <w:rPr>
          <w:rFonts w:hint="eastAsia" w:ascii="仿宋" w:hAnsi="仿宋" w:eastAsia="仿宋" w:cs="仿宋"/>
          <w:b/>
          <w:bCs/>
          <w:snapToGrid w:val="0"/>
          <w:sz w:val="52"/>
          <w:szCs w:val="52"/>
          <w:lang w:val="en-US"/>
        </w:rPr>
        <w:t>能力提升</w:t>
      </w:r>
      <w:r>
        <w:rPr>
          <w:rFonts w:hint="eastAsia" w:ascii="仿宋" w:hAnsi="仿宋" w:eastAsia="仿宋" w:cs="仿宋"/>
          <w:b/>
          <w:bCs/>
          <w:snapToGrid w:val="0"/>
          <w:sz w:val="52"/>
          <w:szCs w:val="52"/>
          <w:lang w:val="en-US" w:eastAsia="zh-CN"/>
        </w:rPr>
        <w:t>项目-工程1标段（</w:t>
      </w:r>
      <w:r>
        <w:rPr>
          <w:rFonts w:hint="eastAsia" w:ascii="仿宋" w:hAnsi="仿宋" w:eastAsia="仿宋" w:cs="仿宋"/>
          <w:b/>
          <w:bCs/>
          <w:snapToGrid w:val="0"/>
          <w:sz w:val="52"/>
          <w:szCs w:val="52"/>
          <w:lang w:val="en-US"/>
        </w:rPr>
        <w:t>信息化</w:t>
      </w:r>
      <w:r>
        <w:rPr>
          <w:rFonts w:hint="eastAsia" w:ascii="仿宋" w:hAnsi="仿宋" w:eastAsia="仿宋" w:cs="仿宋"/>
          <w:b/>
          <w:bCs/>
          <w:snapToGrid w:val="0"/>
          <w:sz w:val="52"/>
          <w:szCs w:val="52"/>
          <w:lang w:val="en-US" w:eastAsia="zh-CN"/>
        </w:rPr>
        <w:t>建设）</w:t>
      </w:r>
    </w:p>
    <w:p w14:paraId="03F80833">
      <w:pPr>
        <w:widowControl/>
        <w:kinsoku w:val="0"/>
        <w:adjustRightInd w:val="0"/>
        <w:snapToGrid w:val="0"/>
        <w:spacing w:line="360" w:lineRule="auto"/>
        <w:ind w:firstLine="0" w:firstLineChars="0"/>
        <w:jc w:val="center"/>
        <w:textAlignment w:val="baseline"/>
        <w:rPr>
          <w:rFonts w:hint="eastAsia" w:ascii="仿宋" w:hAnsi="仿宋" w:eastAsia="仿宋" w:cs="仿宋"/>
          <w:b/>
          <w:bCs/>
          <w:snapToGrid w:val="0"/>
          <w:sz w:val="52"/>
          <w:szCs w:val="52"/>
        </w:rPr>
      </w:pPr>
      <w:r>
        <w:rPr>
          <w:rFonts w:hint="eastAsia" w:ascii="仿宋" w:hAnsi="仿宋" w:eastAsia="仿宋" w:cs="仿宋"/>
          <w:b/>
          <w:bCs/>
          <w:snapToGrid w:val="0"/>
          <w:sz w:val="52"/>
          <w:szCs w:val="52"/>
          <w:lang w:val="en-US"/>
        </w:rPr>
        <w:t>初步设计</w:t>
      </w:r>
      <w:r>
        <w:rPr>
          <w:rFonts w:hint="eastAsia" w:ascii="仿宋" w:hAnsi="仿宋" w:eastAsia="仿宋" w:cs="仿宋"/>
          <w:b/>
          <w:bCs/>
          <w:snapToGrid w:val="0"/>
          <w:sz w:val="52"/>
          <w:szCs w:val="52"/>
        </w:rPr>
        <w:t>方案</w:t>
      </w:r>
    </w:p>
    <w:p w14:paraId="7C17E2BE">
      <w:pPr>
        <w:ind w:firstLine="1124"/>
        <w:jc w:val="center"/>
        <w:rPr>
          <w:rFonts w:hint="eastAsia"/>
          <w:b/>
          <w:bCs/>
          <w:sz w:val="56"/>
          <w:szCs w:val="70"/>
        </w:rPr>
      </w:pPr>
    </w:p>
    <w:p w14:paraId="75B7D6F7">
      <w:pPr>
        <w:pStyle w:val="18"/>
        <w:ind w:firstLine="480"/>
        <w:rPr>
          <w:rFonts w:hint="eastAsia"/>
        </w:rPr>
      </w:pPr>
    </w:p>
    <w:p w14:paraId="75B7D6F8">
      <w:pPr>
        <w:pStyle w:val="13"/>
        <w:rPr>
          <w:rFonts w:hint="eastAsia" w:hAnsi="宋体"/>
          <w:color w:val="auto"/>
          <w:sz w:val="44"/>
        </w:rPr>
      </w:pPr>
    </w:p>
    <w:p w14:paraId="75B7D6F9">
      <w:pPr>
        <w:pStyle w:val="13"/>
        <w:rPr>
          <w:rFonts w:hint="eastAsia" w:hAnsi="宋体"/>
          <w:color w:val="auto"/>
          <w:sz w:val="44"/>
        </w:rPr>
      </w:pPr>
    </w:p>
    <w:p w14:paraId="75B7D6FA">
      <w:pPr>
        <w:pStyle w:val="13"/>
        <w:rPr>
          <w:rFonts w:hint="eastAsia" w:hAnsi="宋体"/>
          <w:color w:val="auto"/>
          <w:sz w:val="44"/>
        </w:rPr>
      </w:pPr>
    </w:p>
    <w:p w14:paraId="2D49CC6C">
      <w:pPr>
        <w:spacing w:line="560" w:lineRule="exact"/>
        <w:ind w:firstLine="0" w:firstLineChars="0"/>
        <w:rPr>
          <w:rFonts w:hint="eastAsia" w:ascii="仿宋" w:hAnsi="仿宋" w:cs="仿宋"/>
          <w:sz w:val="32"/>
          <w:szCs w:val="32"/>
          <w:u w:val="single"/>
          <w:lang w:val="en-US"/>
        </w:rPr>
      </w:pPr>
      <w:r>
        <w:rPr>
          <w:rFonts w:hint="eastAsia" w:ascii="仿宋" w:hAnsi="仿宋" w:cs="仿宋"/>
          <w:color w:val="000000" w:themeColor="text1"/>
          <w:spacing w:val="160"/>
          <w:kern w:val="0"/>
          <w:sz w:val="32"/>
          <w:szCs w:val="32"/>
          <w:fitText w:val="2880" w:id="1687297835"/>
          <w14:textFill>
            <w14:solidFill>
              <w14:schemeClr w14:val="tx1"/>
            </w14:solidFill>
          </w14:textFill>
        </w:rPr>
        <w:t>项目名称</w:t>
      </w:r>
      <w:r>
        <w:rPr>
          <w:rFonts w:hint="eastAsia" w:ascii="仿宋" w:hAnsi="仿宋" w:cs="仿宋"/>
          <w:color w:val="000000" w:themeColor="text1"/>
          <w:spacing w:val="0"/>
          <w:kern w:val="0"/>
          <w:sz w:val="32"/>
          <w:szCs w:val="32"/>
          <w:fitText w:val="2880" w:id="1687297835"/>
          <w14:textFill>
            <w14:solidFill>
              <w14:schemeClr w14:val="tx1"/>
            </w14:solidFill>
          </w14:textFill>
        </w:rPr>
        <w:t>：</w:t>
      </w:r>
      <w:r>
        <w:rPr>
          <w:rFonts w:hint="eastAsia" w:ascii="仿宋" w:hAnsi="仿宋" w:cs="仿宋"/>
          <w:sz w:val="32"/>
          <w:szCs w:val="32"/>
          <w:u w:val="single"/>
          <w:lang w:val="en-US"/>
        </w:rPr>
        <w:t>湖南省岳阳市森林火灾高风险区综合</w:t>
      </w:r>
    </w:p>
    <w:p w14:paraId="121143C6">
      <w:pPr>
        <w:spacing w:line="560" w:lineRule="exact"/>
        <w:ind w:left="2872" w:leftChars="1197" w:firstLine="0" w:firstLineChars="0"/>
        <w:rPr>
          <w:rFonts w:hint="eastAsia" w:ascii="仿宋" w:hAnsi="仿宋" w:cs="仿宋"/>
          <w:sz w:val="32"/>
          <w:szCs w:val="32"/>
          <w:u w:val="single"/>
          <w:lang w:val="en-US" w:eastAsia="zh-CN"/>
        </w:rPr>
      </w:pPr>
      <w:r>
        <w:rPr>
          <w:rFonts w:hint="eastAsia" w:ascii="仿宋" w:hAnsi="仿宋" w:cs="仿宋"/>
          <w:sz w:val="32"/>
          <w:szCs w:val="32"/>
          <w:u w:val="single"/>
          <w:lang w:val="en-US"/>
        </w:rPr>
        <w:t>治理能力提升</w:t>
      </w:r>
      <w:r>
        <w:rPr>
          <w:rFonts w:hint="eastAsia" w:ascii="仿宋" w:hAnsi="仿宋" w:cs="仿宋"/>
          <w:sz w:val="32"/>
          <w:szCs w:val="32"/>
          <w:u w:val="single"/>
          <w:lang w:val="en-US" w:eastAsia="zh-CN"/>
        </w:rPr>
        <w:t>项目-工程1标段（</w:t>
      </w:r>
      <w:r>
        <w:rPr>
          <w:rFonts w:hint="eastAsia" w:ascii="仿宋" w:hAnsi="仿宋" w:cs="仿宋"/>
          <w:sz w:val="32"/>
          <w:szCs w:val="32"/>
          <w:u w:val="single"/>
          <w:lang w:val="en-US"/>
        </w:rPr>
        <w:t>信息化建设</w:t>
      </w:r>
      <w:r>
        <w:rPr>
          <w:rFonts w:hint="eastAsia" w:ascii="仿宋" w:hAnsi="仿宋" w:cs="仿宋"/>
          <w:sz w:val="32"/>
          <w:szCs w:val="32"/>
          <w:u w:val="single"/>
          <w:lang w:val="en-US" w:eastAsia="zh-CN"/>
        </w:rPr>
        <w:t>）</w:t>
      </w:r>
    </w:p>
    <w:p w14:paraId="4FBC46F3">
      <w:pPr>
        <w:spacing w:line="560" w:lineRule="exact"/>
        <w:ind w:firstLine="0" w:firstLineChars="0"/>
        <w:rPr>
          <w:rFonts w:hint="eastAsia" w:ascii="仿宋" w:hAnsi="仿宋" w:cs="仿宋"/>
          <w:sz w:val="32"/>
          <w:szCs w:val="32"/>
          <w:u w:val="single"/>
        </w:rPr>
      </w:pPr>
      <w:r>
        <w:rPr>
          <w:rFonts w:hint="eastAsia" w:ascii="仿宋" w:hAnsi="仿宋" w:cs="仿宋"/>
          <w:spacing w:val="160"/>
          <w:kern w:val="0"/>
          <w:sz w:val="32"/>
          <w:szCs w:val="32"/>
          <w:fitText w:val="2880" w:id="898699145"/>
        </w:rPr>
        <w:t>项目类型</w:t>
      </w:r>
      <w:r>
        <w:rPr>
          <w:rFonts w:hint="eastAsia" w:ascii="仿宋" w:hAnsi="仿宋" w:cs="仿宋"/>
          <w:spacing w:val="0"/>
          <w:kern w:val="0"/>
          <w:sz w:val="32"/>
          <w:szCs w:val="32"/>
          <w:fitText w:val="2880" w:id="898699145"/>
        </w:rPr>
        <w:t>：</w:t>
      </w:r>
      <w:r>
        <w:rPr>
          <w:rFonts w:hint="eastAsia" w:ascii="仿宋" w:hAnsi="仿宋" w:cs="仿宋"/>
          <w:sz w:val="32"/>
          <w:szCs w:val="32"/>
          <w:u w:val="single"/>
          <w:lang w:val="en-US"/>
        </w:rPr>
        <w:t>新建</w:t>
      </w:r>
    </w:p>
    <w:p w14:paraId="40AE6B71">
      <w:pPr>
        <w:spacing w:line="560" w:lineRule="exact"/>
        <w:ind w:firstLine="0" w:firstLineChars="0"/>
        <w:rPr>
          <w:rFonts w:hint="eastAsia" w:ascii="仿宋" w:hAnsi="仿宋" w:cs="仿宋"/>
          <w:sz w:val="32"/>
          <w:szCs w:val="32"/>
          <w:u w:val="single"/>
          <w:lang w:val="en-US"/>
        </w:rPr>
      </w:pPr>
      <w:r>
        <w:rPr>
          <w:rFonts w:hint="eastAsia" w:ascii="仿宋" w:hAnsi="仿宋" w:cs="仿宋"/>
          <w:spacing w:val="0"/>
          <w:kern w:val="0"/>
          <w:sz w:val="32"/>
          <w:szCs w:val="32"/>
          <w:fitText w:val="2880" w:id="1815430494"/>
        </w:rPr>
        <w:t>申报单位（盖章）：</w:t>
      </w:r>
      <w:r>
        <w:rPr>
          <w:rFonts w:hint="eastAsia" w:ascii="仿宋" w:hAnsi="仿宋" w:cs="仿宋"/>
          <w:sz w:val="32"/>
          <w:szCs w:val="32"/>
          <w:u w:val="single"/>
        </w:rPr>
        <w:t>岳阳</w:t>
      </w:r>
      <w:r>
        <w:rPr>
          <w:rFonts w:hint="eastAsia" w:ascii="仿宋" w:hAnsi="仿宋" w:cs="仿宋"/>
          <w:sz w:val="32"/>
          <w:szCs w:val="32"/>
          <w:u w:val="single"/>
          <w:lang w:val="en-US"/>
        </w:rPr>
        <w:t>市林业局</w:t>
      </w:r>
    </w:p>
    <w:p w14:paraId="4F0CD3E2">
      <w:pPr>
        <w:spacing w:line="560" w:lineRule="exact"/>
        <w:ind w:firstLine="0" w:firstLineChars="0"/>
        <w:rPr>
          <w:rFonts w:hint="eastAsia" w:ascii="仿宋" w:hAnsi="仿宋" w:cs="仿宋"/>
          <w:sz w:val="32"/>
          <w:szCs w:val="32"/>
          <w:u w:val="single"/>
          <w:lang w:val="en-US"/>
        </w:rPr>
      </w:pPr>
      <w:r>
        <w:rPr>
          <w:rFonts w:hint="eastAsia" w:ascii="仿宋" w:hAnsi="仿宋" w:cs="仿宋"/>
          <w:spacing w:val="22"/>
          <w:kern w:val="0"/>
          <w:sz w:val="32"/>
          <w:szCs w:val="32"/>
          <w:fitText w:val="2880" w:id="1095967018"/>
        </w:rPr>
        <w:t>申报项目责任人</w:t>
      </w:r>
      <w:r>
        <w:rPr>
          <w:rFonts w:hint="eastAsia" w:ascii="仿宋" w:hAnsi="仿宋" w:cs="仿宋"/>
          <w:spacing w:val="6"/>
          <w:kern w:val="0"/>
          <w:sz w:val="32"/>
          <w:szCs w:val="32"/>
          <w:fitText w:val="2880" w:id="1095967018"/>
        </w:rPr>
        <w:t>：</w:t>
      </w:r>
      <w:r>
        <w:rPr>
          <w:rFonts w:hint="eastAsia" w:ascii="仿宋" w:hAnsi="仿宋" w:cs="仿宋"/>
          <w:sz w:val="32"/>
          <w:szCs w:val="32"/>
          <w:u w:val="single"/>
          <w:lang w:val="en-US"/>
        </w:rPr>
        <w:t xml:space="preserve">杨广军   </w:t>
      </w:r>
    </w:p>
    <w:p w14:paraId="15F930D9">
      <w:pPr>
        <w:spacing w:line="560" w:lineRule="exact"/>
        <w:ind w:firstLine="0" w:firstLineChars="0"/>
        <w:rPr>
          <w:rFonts w:hint="eastAsia" w:ascii="仿宋" w:hAnsi="仿宋" w:cs="仿宋"/>
          <w:sz w:val="32"/>
          <w:szCs w:val="32"/>
          <w:u w:val="single"/>
          <w:lang w:val="en-US"/>
        </w:rPr>
      </w:pPr>
    </w:p>
    <w:p w14:paraId="2B555B77">
      <w:pPr>
        <w:ind w:right="-64" w:rightChars="-27" w:firstLine="0" w:firstLineChars="0"/>
        <w:jc w:val="center"/>
        <w:rPr>
          <w:rFonts w:hint="eastAsia" w:ascii="仿宋" w:hAnsi="仿宋" w:cs="仿宋"/>
          <w:sz w:val="32"/>
          <w:szCs w:val="32"/>
        </w:rPr>
      </w:pPr>
      <w:r>
        <w:rPr>
          <w:rFonts w:hint="eastAsia" w:ascii="仿宋" w:hAnsi="仿宋" w:cs="仿宋"/>
          <w:spacing w:val="266"/>
          <w:kern w:val="0"/>
          <w:sz w:val="32"/>
          <w:szCs w:val="32"/>
          <w:fitText w:val="2880" w:id="104608113"/>
        </w:rPr>
        <w:t>申报时</w:t>
      </w:r>
      <w:r>
        <w:rPr>
          <w:rFonts w:hint="eastAsia" w:ascii="仿宋" w:hAnsi="仿宋" w:cs="仿宋"/>
          <w:spacing w:val="2"/>
          <w:kern w:val="0"/>
          <w:sz w:val="32"/>
          <w:szCs w:val="32"/>
          <w:fitText w:val="2880" w:id="104608113"/>
        </w:rPr>
        <w:t>间</w:t>
      </w:r>
      <w:r>
        <w:rPr>
          <w:rFonts w:hint="eastAsia" w:ascii="方正仿宋_GBK" w:hAnsi="方正仿宋_GBK" w:eastAsia="方正仿宋_GBK" w:cs="方正仿宋_GBK"/>
          <w:sz w:val="32"/>
          <w:szCs w:val="32"/>
        </w:rPr>
        <w:t>：</w:t>
      </w:r>
      <w:r>
        <w:rPr>
          <w:rFonts w:hint="eastAsia" w:ascii="Calibri" w:hAnsi="Calibri" w:cs="Calibri"/>
          <w:sz w:val="32"/>
          <w:szCs w:val="32"/>
        </w:rPr>
        <w:t>202</w:t>
      </w:r>
      <w:r>
        <w:rPr>
          <w:rFonts w:hint="eastAsia" w:ascii="Calibri" w:hAnsi="Calibri" w:cs="Calibri"/>
          <w:sz w:val="32"/>
          <w:szCs w:val="32"/>
          <w:lang w:val="en-US"/>
        </w:rPr>
        <w:t>6</w:t>
      </w:r>
      <w:r>
        <w:rPr>
          <w:rFonts w:hint="eastAsia" w:ascii="仿宋" w:hAnsi="仿宋" w:cs="仿宋"/>
          <w:sz w:val="32"/>
          <w:szCs w:val="32"/>
        </w:rPr>
        <w:t>年</w:t>
      </w:r>
      <w:r>
        <w:rPr>
          <w:rFonts w:hint="eastAsia" w:ascii="仿宋" w:hAnsi="仿宋" w:cs="仿宋"/>
          <w:sz w:val="32"/>
          <w:szCs w:val="32"/>
          <w:lang w:val="en-US"/>
        </w:rPr>
        <w:t>0</w:t>
      </w:r>
      <w:r>
        <w:rPr>
          <w:rFonts w:hint="eastAsia" w:ascii="Calibri" w:hAnsi="Calibri" w:cs="Calibri"/>
          <w:sz w:val="32"/>
          <w:szCs w:val="32"/>
          <w:lang w:val="en-US"/>
        </w:rPr>
        <w:t>4</w:t>
      </w:r>
      <w:r>
        <w:rPr>
          <w:rFonts w:hint="eastAsia" w:ascii="仿宋" w:hAnsi="仿宋" w:cs="仿宋"/>
          <w:sz w:val="32"/>
          <w:szCs w:val="32"/>
        </w:rPr>
        <w:t>月</w:t>
      </w:r>
    </w:p>
    <w:p w14:paraId="75B7D704">
      <w:pPr>
        <w:ind w:firstLine="640"/>
        <w:rPr>
          <w:rFonts w:hint="eastAsia" w:ascii="仿宋" w:hAnsi="仿宋" w:cs="仿宋"/>
          <w:sz w:val="32"/>
          <w:szCs w:val="32"/>
        </w:rPr>
      </w:pPr>
      <w:r>
        <w:rPr>
          <w:rFonts w:hint="eastAsia" w:ascii="仿宋" w:hAnsi="仿宋" w:cs="仿宋"/>
          <w:sz w:val="32"/>
          <w:szCs w:val="32"/>
        </w:rPr>
        <w:br w:type="page"/>
      </w:r>
    </w:p>
    <w:p w14:paraId="75B7D705">
      <w:pPr>
        <w:ind w:right="-64" w:rightChars="-27" w:firstLine="0" w:firstLineChars="0"/>
        <w:jc w:val="center"/>
        <w:rPr>
          <w:rFonts w:hint="eastAsia" w:ascii="仿宋" w:hAnsi="仿宋" w:cs="仿宋"/>
          <w:sz w:val="32"/>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1304" w:gutter="0"/>
          <w:pgNumType w:start="1"/>
          <w:cols w:space="720" w:num="1"/>
          <w:docGrid w:type="linesAndChars" w:linePitch="312" w:charSpace="0"/>
        </w:sectPr>
      </w:pPr>
    </w:p>
    <w:p w14:paraId="75B7D706">
      <w:pPr>
        <w:tabs>
          <w:tab w:val="left" w:pos="328"/>
        </w:tabs>
        <w:ind w:firstLine="643"/>
        <w:rPr>
          <w:rFonts w:hint="eastAsia"/>
          <w:b/>
          <w:bCs/>
          <w:sz w:val="32"/>
          <w:szCs w:val="32"/>
          <w:lang w:val="en-US"/>
        </w:rPr>
      </w:pPr>
      <w:r>
        <w:rPr>
          <w:rFonts w:hint="eastAsia"/>
          <w:b/>
          <w:bCs/>
          <w:sz w:val="32"/>
          <w:szCs w:val="32"/>
        </w:rPr>
        <w:t>项目建设单位：岳阳</w:t>
      </w:r>
      <w:r>
        <w:rPr>
          <w:rFonts w:hint="eastAsia"/>
          <w:b/>
          <w:bCs/>
          <w:sz w:val="32"/>
          <w:szCs w:val="32"/>
          <w:lang w:val="en-US"/>
        </w:rPr>
        <w:t>市林业局</w:t>
      </w:r>
    </w:p>
    <w:p w14:paraId="75B7D707">
      <w:pPr>
        <w:pStyle w:val="13"/>
        <w:rPr>
          <w:color w:val="auto"/>
        </w:rPr>
      </w:pPr>
    </w:p>
    <w:p w14:paraId="75B7D708">
      <w:pPr>
        <w:tabs>
          <w:tab w:val="left" w:pos="328"/>
        </w:tabs>
        <w:ind w:firstLine="643"/>
        <w:rPr>
          <w:rFonts w:hint="eastAsia"/>
          <w:b/>
          <w:bCs/>
          <w:sz w:val="32"/>
          <w:szCs w:val="32"/>
        </w:rPr>
      </w:pPr>
    </w:p>
    <w:p w14:paraId="75B7D709">
      <w:pPr>
        <w:tabs>
          <w:tab w:val="left" w:pos="328"/>
        </w:tabs>
        <w:ind w:firstLine="643"/>
        <w:rPr>
          <w:rFonts w:hint="eastAsia"/>
          <w:b/>
          <w:bCs/>
          <w:sz w:val="32"/>
          <w:szCs w:val="32"/>
        </w:rPr>
      </w:pPr>
    </w:p>
    <w:p w14:paraId="75B7D70A">
      <w:pPr>
        <w:tabs>
          <w:tab w:val="left" w:pos="328"/>
        </w:tabs>
        <w:ind w:firstLine="643"/>
        <w:rPr>
          <w:rFonts w:hint="eastAsia"/>
          <w:b/>
          <w:bCs/>
          <w:sz w:val="32"/>
          <w:szCs w:val="32"/>
        </w:rPr>
      </w:pPr>
      <w:r>
        <w:rPr>
          <w:rFonts w:hint="eastAsia"/>
          <w:b/>
          <w:bCs/>
          <w:sz w:val="32"/>
          <w:szCs w:val="32"/>
        </w:rPr>
        <w:t>编制单位（公章）：湖南大福信息技术咨询有限公司</w:t>
      </w:r>
    </w:p>
    <w:p w14:paraId="75B7D70B">
      <w:pPr>
        <w:tabs>
          <w:tab w:val="left" w:pos="328"/>
        </w:tabs>
        <w:ind w:firstLine="723"/>
        <w:rPr>
          <w:rFonts w:hint="eastAsia"/>
          <w:b/>
          <w:bCs/>
          <w:sz w:val="36"/>
          <w:szCs w:val="36"/>
        </w:rPr>
      </w:pPr>
    </w:p>
    <w:p w14:paraId="75B7D70C">
      <w:pPr>
        <w:pStyle w:val="13"/>
        <w:rPr>
          <w:color w:val="auto"/>
        </w:rPr>
      </w:pPr>
    </w:p>
    <w:p w14:paraId="75B7D70D">
      <w:pPr>
        <w:tabs>
          <w:tab w:val="left" w:pos="328"/>
        </w:tabs>
        <w:ind w:firstLine="643"/>
        <w:rPr>
          <w:rFonts w:hint="eastAsia"/>
          <w:b/>
          <w:bCs/>
          <w:sz w:val="32"/>
          <w:szCs w:val="32"/>
        </w:rPr>
      </w:pPr>
    </w:p>
    <w:p w14:paraId="75B7D70E">
      <w:pPr>
        <w:tabs>
          <w:tab w:val="left" w:pos="328"/>
        </w:tabs>
        <w:ind w:firstLine="643"/>
        <w:rPr>
          <w:rFonts w:hint="eastAsia"/>
          <w:b/>
          <w:bCs/>
          <w:sz w:val="32"/>
          <w:szCs w:val="32"/>
        </w:rPr>
      </w:pPr>
      <w:r>
        <w:rPr>
          <w:rFonts w:hint="eastAsia"/>
          <w:b/>
          <w:bCs/>
          <w:sz w:val="32"/>
          <w:szCs w:val="32"/>
        </w:rPr>
        <w:t>单位资信等级与证书编号：</w:t>
      </w:r>
    </w:p>
    <w:p w14:paraId="75B7D70F">
      <w:pPr>
        <w:pStyle w:val="13"/>
        <w:rPr>
          <w:color w:val="auto"/>
        </w:rPr>
      </w:pPr>
    </w:p>
    <w:p w14:paraId="75B7D710">
      <w:pPr>
        <w:pStyle w:val="13"/>
        <w:rPr>
          <w:color w:val="auto"/>
        </w:rPr>
      </w:pPr>
    </w:p>
    <w:p w14:paraId="75B7D711">
      <w:pPr>
        <w:tabs>
          <w:tab w:val="left" w:pos="328"/>
        </w:tabs>
        <w:ind w:firstLine="1280" w:firstLineChars="400"/>
        <w:rPr>
          <w:rFonts w:hint="eastAsia"/>
          <w:b/>
          <w:bCs/>
          <w:sz w:val="32"/>
          <w:szCs w:val="32"/>
        </w:rPr>
      </w:pPr>
    </w:p>
    <w:p w14:paraId="75B7D712">
      <w:pPr>
        <w:tabs>
          <w:tab w:val="left" w:pos="328"/>
        </w:tabs>
        <w:ind w:firstLine="1280" w:firstLineChars="400"/>
        <w:rPr>
          <w:rFonts w:hint="eastAsia"/>
          <w:b/>
          <w:bCs/>
          <w:sz w:val="32"/>
          <w:szCs w:val="32"/>
        </w:rPr>
      </w:pPr>
      <w:r>
        <w:rPr>
          <w:rFonts w:hint="eastAsia"/>
          <w:b/>
          <w:bCs/>
          <w:sz w:val="32"/>
          <w:szCs w:val="32"/>
        </w:rPr>
        <w:t>工咨乙</w:t>
      </w:r>
      <w:r>
        <w:rPr>
          <w:rFonts w:hint="eastAsia"/>
          <w:b/>
          <w:bCs/>
          <w:sz w:val="32"/>
          <w:szCs w:val="32"/>
          <w:lang w:val="en-US"/>
        </w:rPr>
        <w:t xml:space="preserve"> </w:t>
      </w:r>
      <w:r>
        <w:rPr>
          <w:rFonts w:hint="eastAsia"/>
          <w:b/>
          <w:bCs/>
          <w:sz w:val="32"/>
          <w:szCs w:val="32"/>
        </w:rPr>
        <w:t>222025010140</w:t>
      </w:r>
    </w:p>
    <w:p w14:paraId="75B7D713">
      <w:pPr>
        <w:pStyle w:val="13"/>
        <w:rPr>
          <w:color w:val="auto"/>
        </w:rPr>
      </w:pPr>
    </w:p>
    <w:p w14:paraId="75B7D714">
      <w:pPr>
        <w:tabs>
          <w:tab w:val="left" w:pos="328"/>
        </w:tabs>
        <w:ind w:firstLine="643"/>
        <w:rPr>
          <w:rFonts w:hint="eastAsia"/>
          <w:b/>
          <w:bCs/>
          <w:sz w:val="32"/>
          <w:szCs w:val="32"/>
        </w:rPr>
      </w:pPr>
    </w:p>
    <w:p w14:paraId="75B7D715">
      <w:pPr>
        <w:tabs>
          <w:tab w:val="left" w:pos="328"/>
        </w:tabs>
        <w:ind w:firstLine="643"/>
        <w:rPr>
          <w:rFonts w:hint="eastAsia"/>
          <w:b/>
          <w:bCs/>
          <w:sz w:val="32"/>
          <w:szCs w:val="32"/>
        </w:rPr>
      </w:pPr>
    </w:p>
    <w:p w14:paraId="75B7D716">
      <w:pPr>
        <w:tabs>
          <w:tab w:val="left" w:pos="328"/>
        </w:tabs>
        <w:ind w:firstLine="643"/>
        <w:rPr>
          <w:rFonts w:hint="eastAsia"/>
          <w:b/>
          <w:bCs/>
          <w:sz w:val="32"/>
          <w:szCs w:val="32"/>
        </w:rPr>
      </w:pPr>
      <w:r>
        <w:rPr>
          <w:rFonts w:hint="eastAsia"/>
          <w:b/>
          <w:bCs/>
          <w:sz w:val="32"/>
          <w:szCs w:val="32"/>
        </w:rPr>
        <w:t>咨询小组人员名单：</w:t>
      </w:r>
    </w:p>
    <w:p w14:paraId="75B7D717">
      <w:pPr>
        <w:pStyle w:val="13"/>
        <w:rPr>
          <w:color w:val="auto"/>
        </w:rPr>
      </w:pPr>
    </w:p>
    <w:p w14:paraId="75B7D718">
      <w:pPr>
        <w:tabs>
          <w:tab w:val="left" w:pos="328"/>
        </w:tabs>
        <w:ind w:firstLine="643"/>
        <w:rPr>
          <w:rFonts w:hint="eastAsia"/>
          <w:b/>
          <w:bCs/>
          <w:sz w:val="32"/>
          <w:szCs w:val="32"/>
        </w:rPr>
      </w:pPr>
    </w:p>
    <w:p w14:paraId="75B7D719">
      <w:pPr>
        <w:tabs>
          <w:tab w:val="left" w:pos="328"/>
        </w:tabs>
        <w:ind w:firstLine="1600" w:firstLineChars="500"/>
        <w:rPr>
          <w:rFonts w:hint="eastAsia"/>
          <w:b/>
          <w:bCs/>
          <w:sz w:val="32"/>
          <w:szCs w:val="32"/>
        </w:rPr>
      </w:pPr>
    </w:p>
    <w:p w14:paraId="75B7D71A">
      <w:pPr>
        <w:tabs>
          <w:tab w:val="left" w:pos="328"/>
        </w:tabs>
        <w:ind w:firstLine="1600" w:firstLineChars="500"/>
        <w:rPr>
          <w:rFonts w:hint="eastAsia"/>
          <w:b/>
          <w:bCs/>
          <w:sz w:val="32"/>
          <w:szCs w:val="32"/>
        </w:rPr>
      </w:pPr>
      <w:r>
        <w:rPr>
          <w:rFonts w:hint="eastAsia"/>
          <w:b/>
          <w:bCs/>
          <w:sz w:val="32"/>
          <w:szCs w:val="32"/>
        </w:rPr>
        <w:t>王  旭   注册咨询师</w:t>
      </w:r>
    </w:p>
    <w:p w14:paraId="75B7D71B">
      <w:pPr>
        <w:pStyle w:val="13"/>
        <w:rPr>
          <w:color w:val="auto"/>
        </w:rPr>
      </w:pPr>
    </w:p>
    <w:p w14:paraId="75B7D71C">
      <w:pPr>
        <w:tabs>
          <w:tab w:val="left" w:pos="328"/>
        </w:tabs>
        <w:ind w:firstLine="643"/>
        <w:rPr>
          <w:rFonts w:hint="eastAsia"/>
          <w:b/>
          <w:bCs/>
          <w:sz w:val="32"/>
          <w:szCs w:val="32"/>
        </w:rPr>
      </w:pPr>
    </w:p>
    <w:p w14:paraId="75B7D71D">
      <w:pPr>
        <w:tabs>
          <w:tab w:val="left" w:pos="328"/>
        </w:tabs>
        <w:ind w:firstLine="643"/>
        <w:rPr>
          <w:rFonts w:hint="eastAsia"/>
          <w:b/>
          <w:bCs/>
          <w:sz w:val="32"/>
          <w:szCs w:val="32"/>
        </w:rPr>
      </w:pPr>
    </w:p>
    <w:p w14:paraId="75B7D71E">
      <w:pPr>
        <w:tabs>
          <w:tab w:val="left" w:pos="328"/>
        </w:tabs>
        <w:ind w:firstLine="643"/>
        <w:rPr>
          <w:rFonts w:hint="eastAsia"/>
          <w:b/>
          <w:bCs/>
          <w:sz w:val="32"/>
          <w:szCs w:val="32"/>
        </w:rPr>
      </w:pPr>
    </w:p>
    <w:p w14:paraId="75B7D71F">
      <w:pPr>
        <w:tabs>
          <w:tab w:val="left" w:pos="328"/>
        </w:tabs>
        <w:ind w:firstLine="643"/>
        <w:rPr>
          <w:rFonts w:hint="eastAsia"/>
          <w:b/>
          <w:bCs/>
          <w:sz w:val="32"/>
          <w:szCs w:val="32"/>
        </w:rPr>
      </w:pPr>
    </w:p>
    <w:p w14:paraId="75B7D720">
      <w:pPr>
        <w:tabs>
          <w:tab w:val="left" w:pos="328"/>
        </w:tabs>
        <w:ind w:firstLine="1600" w:firstLineChars="500"/>
        <w:rPr>
          <w:rFonts w:hint="eastAsia"/>
        </w:rPr>
        <w:sectPr>
          <w:headerReference r:id="rId12" w:type="first"/>
          <w:headerReference r:id="rId11" w:type="default"/>
          <w:footerReference r:id="rId13" w:type="default"/>
          <w:pgSz w:w="11905" w:h="16838"/>
          <w:pgMar w:top="1440" w:right="1803" w:bottom="1440" w:left="1803" w:header="850" w:footer="1304" w:gutter="0"/>
          <w:pgNumType w:start="1"/>
          <w:cols w:space="0" w:num="1"/>
          <w:docGrid w:type="linesAndChars" w:linePitch="388" w:charSpace="0"/>
        </w:sectPr>
      </w:pPr>
      <w:r>
        <w:rPr>
          <w:rFonts w:hint="eastAsia"/>
          <w:b/>
          <w:bCs/>
          <w:sz w:val="32"/>
          <w:szCs w:val="32"/>
        </w:rPr>
        <w:t>刘  丹   注册咨询师</w:t>
      </w:r>
    </w:p>
    <w:p w14:paraId="75B7D721">
      <w:pPr>
        <w:spacing w:before="54" w:line="561" w:lineRule="auto"/>
        <w:ind w:right="151" w:firstLine="631"/>
        <w:rPr>
          <w:rFonts w:hint="eastAsia"/>
          <w:b/>
          <w:spacing w:val="-3"/>
          <w:sz w:val="32"/>
        </w:rPr>
      </w:pPr>
      <w:r>
        <w:rPr>
          <w:b/>
          <w:spacing w:val="-3"/>
          <w:sz w:val="32"/>
        </w:rPr>
        <w:t>资质证书：</w:t>
      </w:r>
    </w:p>
    <w:p w14:paraId="75B7D722">
      <w:pPr>
        <w:spacing w:line="240" w:lineRule="auto"/>
        <w:ind w:firstLine="0" w:firstLineChars="0"/>
        <w:jc w:val="center"/>
        <w:rPr>
          <w:rFonts w:hint="eastAsia" w:ascii="仿宋" w:hAnsi="仿宋" w:cs="仿宋"/>
          <w:sz w:val="32"/>
          <w:szCs w:val="32"/>
        </w:rPr>
        <w:sectPr>
          <w:pgSz w:w="11906" w:h="16838"/>
          <w:pgMar w:top="1440" w:right="1800" w:bottom="1440" w:left="1800" w:header="851" w:footer="1304" w:gutter="0"/>
          <w:pgNumType w:start="1"/>
          <w:cols w:space="720" w:num="1"/>
          <w:docGrid w:type="linesAndChars" w:linePitch="312" w:charSpace="0"/>
        </w:sectPr>
      </w:pPr>
      <w:r>
        <w:rPr>
          <w:b/>
          <w:spacing w:val="-3"/>
          <w:sz w:val="32"/>
        </w:rPr>
        <w:drawing>
          <wp:inline distT="0" distB="0" distL="114300" distR="114300">
            <wp:extent cx="5266690" cy="7717790"/>
            <wp:effectExtent l="0" t="0" r="3810"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4"/>
                    <a:stretch>
                      <a:fillRect/>
                    </a:stretch>
                  </pic:blipFill>
                  <pic:spPr>
                    <a:xfrm>
                      <a:off x="0" y="0"/>
                      <a:ext cx="5266690" cy="7717790"/>
                    </a:xfrm>
                    <a:prstGeom prst="rect">
                      <a:avLst/>
                    </a:prstGeom>
                    <a:noFill/>
                    <a:ln>
                      <a:noFill/>
                    </a:ln>
                  </pic:spPr>
                </pic:pic>
              </a:graphicData>
            </a:graphic>
          </wp:inline>
        </w:drawing>
      </w:r>
    </w:p>
    <w:p w14:paraId="75B7D723">
      <w:pPr>
        <w:ind w:firstLine="723"/>
        <w:jc w:val="center"/>
        <w:rPr>
          <w:rFonts w:hint="eastAsia"/>
          <w:b/>
          <w:bCs/>
          <w:sz w:val="36"/>
          <w:szCs w:val="32"/>
          <w:lang w:val="en-US"/>
        </w:rPr>
      </w:pPr>
      <w:r>
        <w:rPr>
          <w:rFonts w:hint="eastAsia"/>
          <w:b/>
          <w:bCs/>
          <w:sz w:val="36"/>
          <w:szCs w:val="32"/>
          <w:lang w:val="en-US"/>
        </w:rPr>
        <w:t>目   录</w:t>
      </w:r>
    </w:p>
    <w:p w14:paraId="5EC23701">
      <w:pPr>
        <w:pStyle w:val="29"/>
        <w:tabs>
          <w:tab w:val="right" w:leader="dot" w:pos="8306"/>
        </w:tabs>
      </w:pPr>
      <w:r>
        <w:rPr>
          <w:rFonts w:hint="eastAsia" w:ascii="华文中宋" w:hAnsi="华文中宋" w:eastAsia="华文中宋" w:cs="华文中宋"/>
          <w:sz w:val="32"/>
          <w:szCs w:val="18"/>
          <w:lang w:val="en-US"/>
        </w:rPr>
        <w:fldChar w:fldCharType="begin"/>
      </w:r>
      <w:r>
        <w:rPr>
          <w:rFonts w:hint="eastAsia" w:ascii="华文中宋" w:hAnsi="华文中宋" w:eastAsia="华文中宋" w:cs="华文中宋"/>
          <w:sz w:val="32"/>
          <w:szCs w:val="18"/>
          <w:lang w:val="en-US"/>
        </w:rPr>
        <w:instrText xml:space="preserve">TOC \o "1-3" \h \u </w:instrText>
      </w:r>
      <w:r>
        <w:rPr>
          <w:rFonts w:hint="eastAsia" w:ascii="华文中宋" w:hAnsi="华文中宋" w:eastAsia="华文中宋" w:cs="华文中宋"/>
          <w:sz w:val="32"/>
          <w:szCs w:val="18"/>
          <w:lang w:val="en-US"/>
        </w:rPr>
        <w:fldChar w:fldCharType="separate"/>
      </w: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_Toc21559 </w:instrText>
      </w:r>
      <w:r>
        <w:rPr>
          <w:rFonts w:hint="eastAsia" w:ascii="华文中宋" w:hAnsi="华文中宋" w:eastAsia="华文中宋" w:cs="华文中宋"/>
          <w:szCs w:val="18"/>
          <w:lang w:val="en-US"/>
        </w:rPr>
        <w:fldChar w:fldCharType="separate"/>
      </w:r>
      <w:r>
        <w:rPr>
          <w:rFonts w:hint="eastAsia"/>
        </w:rPr>
        <w:t>第一章 项目概述</w:t>
      </w:r>
      <w:r>
        <w:tab/>
      </w:r>
      <w:r>
        <w:fldChar w:fldCharType="begin"/>
      </w:r>
      <w:r>
        <w:instrText xml:space="preserve"> PAGEREF _Toc21559 \h </w:instrText>
      </w:r>
      <w:r>
        <w:fldChar w:fldCharType="separate"/>
      </w:r>
      <w:r>
        <w:t>1</w:t>
      </w:r>
      <w:r>
        <w:fldChar w:fldCharType="end"/>
      </w:r>
      <w:r>
        <w:rPr>
          <w:rFonts w:hint="eastAsia" w:ascii="华文中宋" w:hAnsi="华文中宋" w:eastAsia="华文中宋" w:cs="华文中宋"/>
          <w:szCs w:val="18"/>
          <w:lang w:val="en-US"/>
        </w:rPr>
        <w:fldChar w:fldCharType="end"/>
      </w:r>
    </w:p>
    <w:p w14:paraId="2D406EC1">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_Toc6623 </w:instrText>
      </w:r>
      <w:r>
        <w:rPr>
          <w:rFonts w:hint="eastAsia" w:ascii="华文中宋" w:hAnsi="华文中宋" w:eastAsia="华文中宋" w:cs="华文中宋"/>
          <w:szCs w:val="18"/>
          <w:lang w:val="en-US"/>
        </w:rPr>
        <w:fldChar w:fldCharType="separate"/>
      </w:r>
      <w:r>
        <w:rPr>
          <w:rFonts w:hint="eastAsia"/>
        </w:rPr>
        <w:t>1.1. 项目名称</w:t>
      </w:r>
      <w:r>
        <w:tab/>
      </w:r>
      <w:r>
        <w:fldChar w:fldCharType="begin"/>
      </w:r>
      <w:r>
        <w:instrText xml:space="preserve"> PAGEREF _Toc6623 \h </w:instrText>
      </w:r>
      <w:r>
        <w:fldChar w:fldCharType="separate"/>
      </w:r>
      <w:r>
        <w:t>1</w:t>
      </w:r>
      <w:r>
        <w:fldChar w:fldCharType="end"/>
      </w:r>
      <w:r>
        <w:rPr>
          <w:rFonts w:hint="eastAsia" w:ascii="华文中宋" w:hAnsi="华文中宋" w:eastAsia="华文中宋" w:cs="华文中宋"/>
          <w:szCs w:val="18"/>
          <w:lang w:val="en-US"/>
        </w:rPr>
        <w:fldChar w:fldCharType="end"/>
      </w:r>
    </w:p>
    <w:p w14:paraId="21DE12FC">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_Toc26258 </w:instrText>
      </w:r>
      <w:r>
        <w:rPr>
          <w:rFonts w:hint="eastAsia" w:ascii="华文中宋" w:hAnsi="华文中宋" w:eastAsia="华文中宋" w:cs="华文中宋"/>
          <w:szCs w:val="18"/>
          <w:lang w:val="en-US"/>
        </w:rPr>
        <w:fldChar w:fldCharType="separate"/>
      </w:r>
      <w:r>
        <w:rPr>
          <w:rFonts w:hint="eastAsia"/>
        </w:rPr>
        <w:t>1.2. 项目性质</w:t>
      </w:r>
      <w:r>
        <w:tab/>
      </w:r>
      <w:r>
        <w:fldChar w:fldCharType="begin"/>
      </w:r>
      <w:r>
        <w:instrText xml:space="preserve"> PAGEREF _Toc26258 \h </w:instrText>
      </w:r>
      <w:r>
        <w:fldChar w:fldCharType="separate"/>
      </w:r>
      <w:r>
        <w:t>1</w:t>
      </w:r>
      <w:r>
        <w:fldChar w:fldCharType="end"/>
      </w:r>
      <w:r>
        <w:rPr>
          <w:rFonts w:hint="eastAsia" w:ascii="华文中宋" w:hAnsi="华文中宋" w:eastAsia="华文中宋" w:cs="华文中宋"/>
          <w:szCs w:val="18"/>
          <w:lang w:val="en-US"/>
        </w:rPr>
        <w:fldChar w:fldCharType="end"/>
      </w:r>
    </w:p>
    <w:p w14:paraId="427F7A76">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_Toc28390 </w:instrText>
      </w:r>
      <w:r>
        <w:rPr>
          <w:rFonts w:hint="eastAsia" w:ascii="华文中宋" w:hAnsi="华文中宋" w:eastAsia="华文中宋" w:cs="华文中宋"/>
          <w:szCs w:val="18"/>
          <w:lang w:val="en-US"/>
        </w:rPr>
        <w:fldChar w:fldCharType="separate"/>
      </w:r>
      <w:r>
        <w:rPr>
          <w:rFonts w:hint="eastAsia"/>
        </w:rPr>
        <w:t>1.3. 建设单位、负责人与经办人</w:t>
      </w:r>
      <w:r>
        <w:tab/>
      </w:r>
      <w:r>
        <w:fldChar w:fldCharType="begin"/>
      </w:r>
      <w:r>
        <w:instrText xml:space="preserve"> PAGEREF _Toc28390 \h </w:instrText>
      </w:r>
      <w:r>
        <w:fldChar w:fldCharType="separate"/>
      </w:r>
      <w:r>
        <w:t>1</w:t>
      </w:r>
      <w:r>
        <w:fldChar w:fldCharType="end"/>
      </w:r>
      <w:r>
        <w:rPr>
          <w:rFonts w:hint="eastAsia" w:ascii="华文中宋" w:hAnsi="华文中宋" w:eastAsia="华文中宋" w:cs="华文中宋"/>
          <w:szCs w:val="18"/>
          <w:lang w:val="en-US"/>
        </w:rPr>
        <w:fldChar w:fldCharType="end"/>
      </w:r>
    </w:p>
    <w:p w14:paraId="34A83EA6">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_Toc29774 </w:instrText>
      </w:r>
      <w:r>
        <w:rPr>
          <w:rFonts w:hint="eastAsia" w:ascii="华文中宋" w:hAnsi="华文中宋" w:eastAsia="华文中宋" w:cs="华文中宋"/>
          <w:szCs w:val="18"/>
          <w:lang w:val="en-US"/>
        </w:rPr>
        <w:fldChar w:fldCharType="separate"/>
      </w:r>
      <w:r>
        <w:rPr>
          <w:rFonts w:hint="eastAsia"/>
          <w:lang w:val="en-US"/>
        </w:rPr>
        <w:t>1.4. 编制单位</w:t>
      </w:r>
      <w:r>
        <w:tab/>
      </w:r>
      <w:r>
        <w:fldChar w:fldCharType="begin"/>
      </w:r>
      <w:r>
        <w:instrText xml:space="preserve"> PAGEREF _Toc29774 \h </w:instrText>
      </w:r>
      <w:r>
        <w:fldChar w:fldCharType="separate"/>
      </w:r>
      <w:r>
        <w:t>1</w:t>
      </w:r>
      <w:r>
        <w:fldChar w:fldCharType="end"/>
      </w:r>
      <w:r>
        <w:rPr>
          <w:rFonts w:hint="eastAsia" w:ascii="华文中宋" w:hAnsi="华文中宋" w:eastAsia="华文中宋" w:cs="华文中宋"/>
          <w:szCs w:val="18"/>
          <w:lang w:val="en-US"/>
        </w:rPr>
        <w:fldChar w:fldCharType="end"/>
      </w:r>
    </w:p>
    <w:p w14:paraId="4E8A11E3">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_Toc3034 </w:instrText>
      </w:r>
      <w:r>
        <w:rPr>
          <w:rFonts w:hint="eastAsia" w:ascii="华文中宋" w:hAnsi="华文中宋" w:eastAsia="华文中宋" w:cs="华文中宋"/>
          <w:szCs w:val="18"/>
          <w:lang w:val="en-US"/>
        </w:rPr>
        <w:fldChar w:fldCharType="separate"/>
      </w:r>
      <w:r>
        <w:rPr>
          <w:rFonts w:hint="eastAsia"/>
          <w:lang w:val="en-US"/>
        </w:rPr>
        <w:t>1.5. 方案编制依据</w:t>
      </w:r>
      <w:r>
        <w:tab/>
      </w:r>
      <w:r>
        <w:fldChar w:fldCharType="begin"/>
      </w:r>
      <w:r>
        <w:instrText xml:space="preserve"> PAGEREF _Toc3034 \h </w:instrText>
      </w:r>
      <w:r>
        <w:fldChar w:fldCharType="separate"/>
      </w:r>
      <w:r>
        <w:t>1</w:t>
      </w:r>
      <w:r>
        <w:fldChar w:fldCharType="end"/>
      </w:r>
      <w:r>
        <w:rPr>
          <w:rFonts w:hint="eastAsia" w:ascii="华文中宋" w:hAnsi="华文中宋" w:eastAsia="华文中宋" w:cs="华文中宋"/>
          <w:szCs w:val="18"/>
          <w:lang w:val="en-US"/>
        </w:rPr>
        <w:fldChar w:fldCharType="end"/>
      </w:r>
    </w:p>
    <w:p w14:paraId="4474A7D6">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_Toc1307 </w:instrText>
      </w:r>
      <w:r>
        <w:rPr>
          <w:rFonts w:hint="eastAsia" w:ascii="华文中宋" w:hAnsi="华文中宋" w:eastAsia="华文中宋" w:cs="华文中宋"/>
          <w:szCs w:val="18"/>
          <w:lang w:val="en-US"/>
        </w:rPr>
        <w:fldChar w:fldCharType="separate"/>
      </w:r>
      <w:r>
        <w:rPr>
          <w:rFonts w:hint="eastAsia"/>
        </w:rPr>
        <w:t>1.5.1. 政策依据</w:t>
      </w:r>
      <w:r>
        <w:tab/>
      </w:r>
      <w:r>
        <w:fldChar w:fldCharType="begin"/>
      </w:r>
      <w:r>
        <w:instrText xml:space="preserve"> PAGEREF _Toc1307 \h </w:instrText>
      </w:r>
      <w:r>
        <w:fldChar w:fldCharType="separate"/>
      </w:r>
      <w:r>
        <w:t>1</w:t>
      </w:r>
      <w:r>
        <w:fldChar w:fldCharType="end"/>
      </w:r>
      <w:r>
        <w:rPr>
          <w:rFonts w:hint="eastAsia" w:ascii="华文中宋" w:hAnsi="华文中宋" w:eastAsia="华文中宋" w:cs="华文中宋"/>
          <w:szCs w:val="18"/>
          <w:lang w:val="en-US"/>
        </w:rPr>
        <w:fldChar w:fldCharType="end"/>
      </w:r>
    </w:p>
    <w:p w14:paraId="10708B2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_Toc29724 </w:instrText>
      </w:r>
      <w:r>
        <w:rPr>
          <w:rFonts w:hint="eastAsia" w:ascii="华文中宋" w:hAnsi="华文中宋" w:eastAsia="华文中宋" w:cs="华文中宋"/>
          <w:szCs w:val="18"/>
          <w:lang w:val="en-US"/>
        </w:rPr>
        <w:fldChar w:fldCharType="separate"/>
      </w:r>
      <w:r>
        <w:rPr>
          <w:rFonts w:hint="eastAsia"/>
        </w:rPr>
        <w:t>1.5.2. 技术依据</w:t>
      </w:r>
      <w:r>
        <w:tab/>
      </w:r>
      <w:r>
        <w:fldChar w:fldCharType="begin"/>
      </w:r>
      <w:r>
        <w:instrText xml:space="preserve"> PAGEREF _Toc29724 \h </w:instrText>
      </w:r>
      <w:r>
        <w:fldChar w:fldCharType="separate"/>
      </w:r>
      <w:r>
        <w:t>2</w:t>
      </w:r>
      <w:r>
        <w:fldChar w:fldCharType="end"/>
      </w:r>
      <w:r>
        <w:rPr>
          <w:rFonts w:hint="eastAsia" w:ascii="华文中宋" w:hAnsi="华文中宋" w:eastAsia="华文中宋" w:cs="华文中宋"/>
          <w:szCs w:val="18"/>
          <w:lang w:val="en-US"/>
        </w:rPr>
        <w:fldChar w:fldCharType="end"/>
      </w:r>
    </w:p>
    <w:p w14:paraId="5365E60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_Toc1916 </w:instrText>
      </w:r>
      <w:r>
        <w:rPr>
          <w:rFonts w:hint="eastAsia" w:ascii="华文中宋" w:hAnsi="华文中宋" w:eastAsia="华文中宋" w:cs="华文中宋"/>
          <w:szCs w:val="18"/>
          <w:lang w:val="en-US"/>
        </w:rPr>
        <w:fldChar w:fldCharType="separate"/>
      </w:r>
      <w:r>
        <w:rPr>
          <w:rFonts w:hint="eastAsia"/>
        </w:rPr>
        <w:t xml:space="preserve">1.5.3. </w:t>
      </w:r>
      <w:r>
        <w:rPr>
          <w:rFonts w:hint="eastAsia"/>
          <w:lang w:val="en-US" w:eastAsia="zh-CN"/>
        </w:rPr>
        <w:t>其他</w:t>
      </w:r>
      <w:r>
        <w:rPr>
          <w:rFonts w:hint="eastAsia"/>
        </w:rPr>
        <w:t>依据</w:t>
      </w:r>
      <w:r>
        <w:tab/>
      </w:r>
      <w:r>
        <w:fldChar w:fldCharType="begin"/>
      </w:r>
      <w:r>
        <w:instrText xml:space="preserve"> PAGEREF _Toc1916 \h </w:instrText>
      </w:r>
      <w:r>
        <w:fldChar w:fldCharType="separate"/>
      </w:r>
      <w:r>
        <w:t>3</w:t>
      </w:r>
      <w:r>
        <w:fldChar w:fldCharType="end"/>
      </w:r>
      <w:r>
        <w:rPr>
          <w:rFonts w:hint="eastAsia" w:ascii="华文中宋" w:hAnsi="华文中宋" w:eastAsia="华文中宋" w:cs="华文中宋"/>
          <w:szCs w:val="18"/>
          <w:lang w:val="en-US"/>
        </w:rPr>
        <w:fldChar w:fldCharType="end"/>
      </w:r>
    </w:p>
    <w:p w14:paraId="4531069E">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_Toc6692 </w:instrText>
      </w:r>
      <w:r>
        <w:rPr>
          <w:rFonts w:hint="eastAsia" w:ascii="华文中宋" w:hAnsi="华文中宋" w:eastAsia="华文中宋" w:cs="华文中宋"/>
          <w:szCs w:val="18"/>
          <w:lang w:val="en-US"/>
        </w:rPr>
        <w:fldChar w:fldCharType="separate"/>
      </w:r>
      <w:r>
        <w:rPr>
          <w:rFonts w:hint="eastAsia"/>
          <w:lang w:val="en-US"/>
        </w:rPr>
        <w:t>1.6. 项目绩效指标</w:t>
      </w:r>
      <w:r>
        <w:tab/>
      </w:r>
      <w:r>
        <w:fldChar w:fldCharType="begin"/>
      </w:r>
      <w:r>
        <w:instrText xml:space="preserve"> PAGEREF _Toc6692 \h </w:instrText>
      </w:r>
      <w:r>
        <w:fldChar w:fldCharType="separate"/>
      </w:r>
      <w:r>
        <w:t>3</w:t>
      </w:r>
      <w:r>
        <w:fldChar w:fldCharType="end"/>
      </w:r>
      <w:r>
        <w:rPr>
          <w:rFonts w:hint="eastAsia" w:ascii="华文中宋" w:hAnsi="华文中宋" w:eastAsia="华文中宋" w:cs="华文中宋"/>
          <w:szCs w:val="18"/>
          <w:lang w:val="en-US"/>
        </w:rPr>
        <w:fldChar w:fldCharType="end"/>
      </w:r>
    </w:p>
    <w:p w14:paraId="3BECBAE8">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_Toc29190 </w:instrText>
      </w:r>
      <w:r>
        <w:rPr>
          <w:rFonts w:hint="eastAsia" w:ascii="华文中宋" w:hAnsi="华文中宋" w:eastAsia="华文中宋" w:cs="华文中宋"/>
          <w:szCs w:val="18"/>
          <w:lang w:val="en-US"/>
        </w:rPr>
        <w:fldChar w:fldCharType="separate"/>
      </w:r>
      <w:r>
        <w:rPr>
          <w:rFonts w:hint="eastAsia"/>
          <w:lang w:val="en-US"/>
        </w:rPr>
        <w:t>1.7. 项目建设内容、建设规模、建设地点、建设期</w:t>
      </w:r>
      <w:r>
        <w:tab/>
      </w:r>
      <w:r>
        <w:fldChar w:fldCharType="begin"/>
      </w:r>
      <w:r>
        <w:instrText xml:space="preserve"> PAGEREF _Toc29190 \h </w:instrText>
      </w:r>
      <w:r>
        <w:fldChar w:fldCharType="separate"/>
      </w:r>
      <w:r>
        <w:t>5</w:t>
      </w:r>
      <w:r>
        <w:fldChar w:fldCharType="end"/>
      </w:r>
      <w:r>
        <w:rPr>
          <w:rFonts w:hint="eastAsia" w:ascii="华文中宋" w:hAnsi="华文中宋" w:eastAsia="华文中宋" w:cs="华文中宋"/>
          <w:szCs w:val="18"/>
          <w:lang w:val="en-US"/>
        </w:rPr>
        <w:fldChar w:fldCharType="end"/>
      </w:r>
    </w:p>
    <w:p w14:paraId="6275DA16">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_Toc6214 </w:instrText>
      </w:r>
      <w:r>
        <w:rPr>
          <w:rFonts w:hint="eastAsia" w:ascii="华文中宋" w:hAnsi="华文中宋" w:eastAsia="华文中宋" w:cs="华文中宋"/>
          <w:szCs w:val="18"/>
          <w:lang w:val="en-US"/>
        </w:rPr>
        <w:fldChar w:fldCharType="separate"/>
      </w:r>
      <w:r>
        <w:rPr>
          <w:rFonts w:hint="eastAsia"/>
        </w:rPr>
        <w:t>1.7.1. 建设内容</w:t>
      </w:r>
      <w:r>
        <w:tab/>
      </w:r>
      <w:r>
        <w:fldChar w:fldCharType="begin"/>
      </w:r>
      <w:r>
        <w:instrText xml:space="preserve"> PAGEREF _Toc6214 \h </w:instrText>
      </w:r>
      <w:r>
        <w:fldChar w:fldCharType="separate"/>
      </w:r>
      <w:r>
        <w:t>5</w:t>
      </w:r>
      <w:r>
        <w:fldChar w:fldCharType="end"/>
      </w:r>
      <w:r>
        <w:rPr>
          <w:rFonts w:hint="eastAsia" w:ascii="华文中宋" w:hAnsi="华文中宋" w:eastAsia="华文中宋" w:cs="华文中宋"/>
          <w:szCs w:val="18"/>
          <w:lang w:val="en-US"/>
        </w:rPr>
        <w:fldChar w:fldCharType="end"/>
      </w:r>
    </w:p>
    <w:p w14:paraId="49E31022">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_Toc17283 </w:instrText>
      </w:r>
      <w:r>
        <w:rPr>
          <w:rFonts w:hint="eastAsia" w:ascii="华文中宋" w:hAnsi="华文中宋" w:eastAsia="华文中宋" w:cs="华文中宋"/>
          <w:szCs w:val="18"/>
          <w:lang w:val="en-US"/>
        </w:rPr>
        <w:fldChar w:fldCharType="separate"/>
      </w:r>
      <w:r>
        <w:rPr>
          <w:rFonts w:hint="eastAsia"/>
        </w:rPr>
        <w:t>1.7.2. 建设规模</w:t>
      </w:r>
      <w:r>
        <w:tab/>
      </w:r>
      <w:r>
        <w:fldChar w:fldCharType="begin"/>
      </w:r>
      <w:r>
        <w:instrText xml:space="preserve"> PAGEREF _Toc17283 \h </w:instrText>
      </w:r>
      <w:r>
        <w:fldChar w:fldCharType="separate"/>
      </w:r>
      <w:r>
        <w:t>6</w:t>
      </w:r>
      <w:r>
        <w:fldChar w:fldCharType="end"/>
      </w:r>
      <w:r>
        <w:rPr>
          <w:rFonts w:hint="eastAsia" w:ascii="华文中宋" w:hAnsi="华文中宋" w:eastAsia="华文中宋" w:cs="华文中宋"/>
          <w:szCs w:val="18"/>
          <w:lang w:val="en-US"/>
        </w:rPr>
        <w:fldChar w:fldCharType="end"/>
      </w:r>
    </w:p>
    <w:p w14:paraId="18791C06">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_Toc12482 </w:instrText>
      </w:r>
      <w:r>
        <w:rPr>
          <w:rFonts w:hint="eastAsia" w:ascii="华文中宋" w:hAnsi="华文中宋" w:eastAsia="华文中宋" w:cs="华文中宋"/>
          <w:szCs w:val="18"/>
          <w:lang w:val="en-US"/>
        </w:rPr>
        <w:fldChar w:fldCharType="separate"/>
      </w:r>
      <w:r>
        <w:rPr>
          <w:rFonts w:hint="eastAsia"/>
        </w:rPr>
        <w:t>1.7.3. 建设地点</w:t>
      </w:r>
      <w:r>
        <w:tab/>
      </w:r>
      <w:r>
        <w:fldChar w:fldCharType="begin"/>
      </w:r>
      <w:r>
        <w:instrText xml:space="preserve"> PAGEREF _Toc12482 \h </w:instrText>
      </w:r>
      <w:r>
        <w:fldChar w:fldCharType="separate"/>
      </w:r>
      <w:r>
        <w:t>6</w:t>
      </w:r>
      <w:r>
        <w:fldChar w:fldCharType="end"/>
      </w:r>
      <w:r>
        <w:rPr>
          <w:rFonts w:hint="eastAsia" w:ascii="华文中宋" w:hAnsi="华文中宋" w:eastAsia="华文中宋" w:cs="华文中宋"/>
          <w:szCs w:val="18"/>
          <w:lang w:val="en-US"/>
        </w:rPr>
        <w:fldChar w:fldCharType="end"/>
      </w:r>
    </w:p>
    <w:p w14:paraId="3ED1842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_Toc334 </w:instrText>
      </w:r>
      <w:r>
        <w:rPr>
          <w:rFonts w:hint="eastAsia" w:ascii="华文中宋" w:hAnsi="华文中宋" w:eastAsia="华文中宋" w:cs="华文中宋"/>
          <w:szCs w:val="18"/>
          <w:lang w:val="en-US"/>
        </w:rPr>
        <w:fldChar w:fldCharType="separate"/>
      </w:r>
      <w:r>
        <w:rPr>
          <w:rFonts w:hint="eastAsia"/>
        </w:rPr>
        <w:t xml:space="preserve">1.7.4. </w:t>
      </w:r>
      <w:r>
        <w:rPr>
          <w:rFonts w:hint="eastAsia"/>
          <w:lang w:val="en-US"/>
        </w:rPr>
        <w:t>建设</w:t>
      </w:r>
      <w:r>
        <w:rPr>
          <w:rFonts w:hint="eastAsia"/>
        </w:rPr>
        <w:t>工期</w:t>
      </w:r>
      <w:r>
        <w:tab/>
      </w:r>
      <w:r>
        <w:fldChar w:fldCharType="begin"/>
      </w:r>
      <w:r>
        <w:instrText xml:space="preserve"> PAGEREF _Toc334 \h </w:instrText>
      </w:r>
      <w:r>
        <w:fldChar w:fldCharType="separate"/>
      </w:r>
      <w:r>
        <w:t>6</w:t>
      </w:r>
      <w:r>
        <w:fldChar w:fldCharType="end"/>
      </w:r>
      <w:r>
        <w:rPr>
          <w:rFonts w:hint="eastAsia" w:ascii="华文中宋" w:hAnsi="华文中宋" w:eastAsia="华文中宋" w:cs="华文中宋"/>
          <w:szCs w:val="18"/>
          <w:lang w:val="en-US"/>
        </w:rPr>
        <w:fldChar w:fldCharType="end"/>
      </w:r>
    </w:p>
    <w:p w14:paraId="00FDC82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_Toc22336 </w:instrText>
      </w:r>
      <w:r>
        <w:rPr>
          <w:rFonts w:hint="eastAsia" w:ascii="华文中宋" w:hAnsi="华文中宋" w:eastAsia="华文中宋" w:cs="华文中宋"/>
          <w:szCs w:val="18"/>
          <w:lang w:val="en-US"/>
        </w:rPr>
        <w:fldChar w:fldCharType="separate"/>
      </w:r>
      <w:r>
        <w:rPr>
          <w:rFonts w:hint="eastAsia"/>
          <w:lang w:val="en-US"/>
        </w:rPr>
        <w:t>1.8. 主要结论和建议</w:t>
      </w:r>
      <w:r>
        <w:tab/>
      </w:r>
      <w:r>
        <w:fldChar w:fldCharType="begin"/>
      </w:r>
      <w:r>
        <w:instrText xml:space="preserve"> PAGEREF _Toc22336 \h </w:instrText>
      </w:r>
      <w:r>
        <w:fldChar w:fldCharType="separate"/>
      </w:r>
      <w:r>
        <w:t>6</w:t>
      </w:r>
      <w:r>
        <w:fldChar w:fldCharType="end"/>
      </w:r>
      <w:r>
        <w:rPr>
          <w:rFonts w:hint="eastAsia" w:ascii="华文中宋" w:hAnsi="华文中宋" w:eastAsia="华文中宋" w:cs="华文中宋"/>
          <w:szCs w:val="18"/>
          <w:lang w:val="en-US"/>
        </w:rPr>
        <w:fldChar w:fldCharType="end"/>
      </w:r>
    </w:p>
    <w:p w14:paraId="3398B9E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_Toc3421 </w:instrText>
      </w:r>
      <w:r>
        <w:rPr>
          <w:rFonts w:hint="eastAsia" w:ascii="华文中宋" w:hAnsi="华文中宋" w:eastAsia="华文中宋" w:cs="华文中宋"/>
          <w:szCs w:val="18"/>
          <w:lang w:val="en-US"/>
        </w:rPr>
        <w:fldChar w:fldCharType="separate"/>
      </w:r>
      <w:r>
        <w:rPr>
          <w:rFonts w:hint="eastAsia"/>
        </w:rPr>
        <w:t xml:space="preserve">1.8.1. </w:t>
      </w:r>
      <w:r>
        <w:rPr>
          <w:rFonts w:hint="eastAsia"/>
          <w:lang w:val="en-US"/>
        </w:rPr>
        <w:t>主要</w:t>
      </w:r>
      <w:r>
        <w:t>结论</w:t>
      </w:r>
      <w:r>
        <w:tab/>
      </w:r>
      <w:r>
        <w:fldChar w:fldCharType="begin"/>
      </w:r>
      <w:r>
        <w:instrText xml:space="preserve"> PAGEREF _Toc3421 \h </w:instrText>
      </w:r>
      <w:r>
        <w:fldChar w:fldCharType="separate"/>
      </w:r>
      <w:r>
        <w:t>6</w:t>
      </w:r>
      <w:r>
        <w:fldChar w:fldCharType="end"/>
      </w:r>
      <w:r>
        <w:rPr>
          <w:rFonts w:hint="eastAsia" w:ascii="华文中宋" w:hAnsi="华文中宋" w:eastAsia="华文中宋" w:cs="华文中宋"/>
          <w:szCs w:val="18"/>
          <w:lang w:val="en-US"/>
        </w:rPr>
        <w:fldChar w:fldCharType="end"/>
      </w:r>
    </w:p>
    <w:p w14:paraId="3C435D76">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_Toc22299 </w:instrText>
      </w:r>
      <w:r>
        <w:rPr>
          <w:rFonts w:hint="eastAsia" w:ascii="华文中宋" w:hAnsi="华文中宋" w:eastAsia="华文中宋" w:cs="华文中宋"/>
          <w:szCs w:val="18"/>
          <w:lang w:val="en-US"/>
        </w:rPr>
        <w:fldChar w:fldCharType="separate"/>
      </w:r>
      <w:r>
        <w:rPr>
          <w:rFonts w:hint="eastAsia"/>
        </w:rPr>
        <w:t xml:space="preserve">1.8.2. </w:t>
      </w:r>
      <w:r>
        <w:rPr>
          <w:rFonts w:hint="eastAsia"/>
          <w:lang w:val="en-US"/>
        </w:rPr>
        <w:t>相关</w:t>
      </w:r>
      <w:r>
        <w:t>建议</w:t>
      </w:r>
      <w:r>
        <w:tab/>
      </w:r>
      <w:r>
        <w:fldChar w:fldCharType="begin"/>
      </w:r>
      <w:r>
        <w:instrText xml:space="preserve"> PAGEREF _Toc22299 \h </w:instrText>
      </w:r>
      <w:r>
        <w:fldChar w:fldCharType="separate"/>
      </w:r>
      <w:r>
        <w:t>7</w:t>
      </w:r>
      <w:r>
        <w:fldChar w:fldCharType="end"/>
      </w:r>
      <w:r>
        <w:rPr>
          <w:rFonts w:hint="eastAsia" w:ascii="华文中宋" w:hAnsi="华文中宋" w:eastAsia="华文中宋" w:cs="华文中宋"/>
          <w:szCs w:val="18"/>
          <w:lang w:val="en-US"/>
        </w:rPr>
        <w:fldChar w:fldCharType="end"/>
      </w:r>
    </w:p>
    <w:p w14:paraId="30A517E8">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_Toc14807 </w:instrText>
      </w:r>
      <w:r>
        <w:rPr>
          <w:rFonts w:hint="eastAsia" w:ascii="华文中宋" w:hAnsi="华文中宋" w:eastAsia="华文中宋" w:cs="华文中宋"/>
          <w:szCs w:val="18"/>
          <w:lang w:val="en-US"/>
        </w:rPr>
        <w:fldChar w:fldCharType="separate"/>
      </w:r>
      <w:r>
        <w:rPr>
          <w:rFonts w:hint="eastAsia"/>
          <w:lang w:val="en-US"/>
        </w:rPr>
        <w:t>第二章 项目建设单位概况</w:t>
      </w:r>
      <w:r>
        <w:tab/>
      </w:r>
      <w:r>
        <w:fldChar w:fldCharType="begin"/>
      </w:r>
      <w:r>
        <w:instrText xml:space="preserve"> PAGEREF _Toc14807 \h </w:instrText>
      </w:r>
      <w:r>
        <w:fldChar w:fldCharType="separate"/>
      </w:r>
      <w:r>
        <w:t>9</w:t>
      </w:r>
      <w:r>
        <w:fldChar w:fldCharType="end"/>
      </w:r>
      <w:r>
        <w:rPr>
          <w:rFonts w:hint="eastAsia" w:ascii="华文中宋" w:hAnsi="华文中宋" w:eastAsia="华文中宋" w:cs="华文中宋"/>
          <w:szCs w:val="18"/>
          <w:lang w:val="en-US"/>
        </w:rPr>
        <w:fldChar w:fldCharType="end"/>
      </w:r>
    </w:p>
    <w:p w14:paraId="48F254AD">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_Toc1328 </w:instrText>
      </w:r>
      <w:r>
        <w:rPr>
          <w:rFonts w:hint="eastAsia" w:ascii="华文中宋" w:hAnsi="华文中宋" w:eastAsia="华文中宋" w:cs="华文中宋"/>
          <w:szCs w:val="18"/>
          <w:lang w:val="en-US"/>
        </w:rPr>
        <w:fldChar w:fldCharType="separate"/>
      </w:r>
      <w:r>
        <w:rPr>
          <w:rFonts w:hint="eastAsia"/>
        </w:rPr>
        <w:t>2.1. 项目建设单位与职能</w:t>
      </w:r>
      <w:r>
        <w:tab/>
      </w:r>
      <w:r>
        <w:fldChar w:fldCharType="begin"/>
      </w:r>
      <w:r>
        <w:instrText xml:space="preserve"> PAGEREF _Toc1328 \h </w:instrText>
      </w:r>
      <w:r>
        <w:fldChar w:fldCharType="separate"/>
      </w:r>
      <w:r>
        <w:t>9</w:t>
      </w:r>
      <w:r>
        <w:fldChar w:fldCharType="end"/>
      </w:r>
      <w:r>
        <w:rPr>
          <w:rFonts w:hint="eastAsia" w:ascii="华文中宋" w:hAnsi="华文中宋" w:eastAsia="华文中宋" w:cs="华文中宋"/>
          <w:szCs w:val="18"/>
          <w:lang w:val="en-US"/>
        </w:rPr>
        <w:fldChar w:fldCharType="end"/>
      </w:r>
    </w:p>
    <w:p w14:paraId="32B82B2A">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_Toc28204 </w:instrText>
      </w:r>
      <w:r>
        <w:rPr>
          <w:rFonts w:hint="eastAsia" w:ascii="华文中宋" w:hAnsi="华文中宋" w:eastAsia="华文中宋" w:cs="华文中宋"/>
          <w:szCs w:val="18"/>
          <w:lang w:val="en-US"/>
        </w:rPr>
        <w:fldChar w:fldCharType="separate"/>
      </w:r>
      <w:r>
        <w:rPr>
          <w:rFonts w:hint="eastAsia"/>
          <w:lang w:val="en-US"/>
        </w:rPr>
        <w:t>2.2. 项目实施机构与职责</w:t>
      </w:r>
      <w:r>
        <w:tab/>
      </w:r>
      <w:r>
        <w:fldChar w:fldCharType="begin"/>
      </w:r>
      <w:r>
        <w:instrText xml:space="preserve"> PAGEREF _Toc28204 \h </w:instrText>
      </w:r>
      <w:r>
        <w:fldChar w:fldCharType="separate"/>
      </w:r>
      <w:r>
        <w:t>9</w:t>
      </w:r>
      <w:r>
        <w:fldChar w:fldCharType="end"/>
      </w:r>
      <w:r>
        <w:rPr>
          <w:rFonts w:hint="eastAsia" w:ascii="华文中宋" w:hAnsi="华文中宋" w:eastAsia="华文中宋" w:cs="华文中宋"/>
          <w:szCs w:val="18"/>
          <w:lang w:val="en-US"/>
        </w:rPr>
        <w:fldChar w:fldCharType="end"/>
      </w:r>
    </w:p>
    <w:p w14:paraId="20A57472">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_Toc8465 </w:instrText>
      </w:r>
      <w:r>
        <w:rPr>
          <w:rFonts w:hint="eastAsia" w:ascii="华文中宋" w:hAnsi="华文中宋" w:eastAsia="华文中宋" w:cs="华文中宋"/>
          <w:szCs w:val="18"/>
          <w:lang w:val="en-US"/>
        </w:rPr>
        <w:fldChar w:fldCharType="separate"/>
      </w:r>
      <w:r>
        <w:rPr>
          <w:rFonts w:hint="eastAsia"/>
          <w:lang w:val="en-US"/>
        </w:rPr>
        <w:t>第三章 项目建设的必要性</w:t>
      </w:r>
      <w:r>
        <w:tab/>
      </w:r>
      <w:r>
        <w:fldChar w:fldCharType="begin"/>
      </w:r>
      <w:r>
        <w:instrText xml:space="preserve"> PAGEREF _Toc8465 \h </w:instrText>
      </w:r>
      <w:r>
        <w:fldChar w:fldCharType="separate"/>
      </w:r>
      <w:r>
        <w:t>10</w:t>
      </w:r>
      <w:r>
        <w:fldChar w:fldCharType="end"/>
      </w:r>
      <w:r>
        <w:rPr>
          <w:rFonts w:hint="eastAsia" w:ascii="华文中宋" w:hAnsi="华文中宋" w:eastAsia="华文中宋" w:cs="华文中宋"/>
          <w:szCs w:val="18"/>
          <w:lang w:val="en-US"/>
        </w:rPr>
        <w:fldChar w:fldCharType="end"/>
      </w:r>
    </w:p>
    <w:p w14:paraId="24DB6C26">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_Toc4610 </w:instrText>
      </w:r>
      <w:r>
        <w:rPr>
          <w:rFonts w:hint="eastAsia" w:ascii="华文中宋" w:hAnsi="华文中宋" w:eastAsia="华文中宋" w:cs="华文中宋"/>
          <w:szCs w:val="18"/>
          <w:lang w:val="en-US"/>
        </w:rPr>
        <w:fldChar w:fldCharType="separate"/>
      </w:r>
      <w:r>
        <w:rPr>
          <w:rFonts w:hint="eastAsia"/>
          <w:lang w:val="en-US"/>
        </w:rPr>
        <w:t>3.1. 项目提出的背景</w:t>
      </w:r>
      <w:r>
        <w:tab/>
      </w:r>
      <w:r>
        <w:fldChar w:fldCharType="begin"/>
      </w:r>
      <w:r>
        <w:instrText xml:space="preserve"> PAGEREF _Toc4610 \h </w:instrText>
      </w:r>
      <w:r>
        <w:fldChar w:fldCharType="separate"/>
      </w:r>
      <w:r>
        <w:t>10</w:t>
      </w:r>
      <w:r>
        <w:fldChar w:fldCharType="end"/>
      </w:r>
      <w:r>
        <w:rPr>
          <w:rFonts w:hint="eastAsia" w:ascii="华文中宋" w:hAnsi="华文中宋" w:eastAsia="华文中宋" w:cs="华文中宋"/>
          <w:szCs w:val="18"/>
          <w:lang w:val="en-US"/>
        </w:rPr>
        <w:fldChar w:fldCharType="end"/>
      </w:r>
    </w:p>
    <w:p w14:paraId="1424B4B8">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_Toc26819 </w:instrText>
      </w:r>
      <w:r>
        <w:rPr>
          <w:rFonts w:hint="eastAsia" w:ascii="华文中宋" w:hAnsi="华文中宋" w:eastAsia="华文中宋" w:cs="华文中宋"/>
          <w:szCs w:val="18"/>
          <w:lang w:val="en-US"/>
        </w:rPr>
        <w:fldChar w:fldCharType="separate"/>
      </w:r>
      <w:r>
        <w:rPr>
          <w:rFonts w:hint="eastAsia"/>
          <w:lang w:val="en-US"/>
        </w:rPr>
        <w:t>3.2. 项目现状分析</w:t>
      </w:r>
      <w:r>
        <w:tab/>
      </w:r>
      <w:r>
        <w:fldChar w:fldCharType="begin"/>
      </w:r>
      <w:r>
        <w:instrText xml:space="preserve"> PAGEREF _Toc26819 \h </w:instrText>
      </w:r>
      <w:r>
        <w:fldChar w:fldCharType="separate"/>
      </w:r>
      <w:r>
        <w:t>12</w:t>
      </w:r>
      <w:r>
        <w:fldChar w:fldCharType="end"/>
      </w:r>
      <w:r>
        <w:rPr>
          <w:rFonts w:hint="eastAsia" w:ascii="华文中宋" w:hAnsi="华文中宋" w:eastAsia="华文中宋" w:cs="华文中宋"/>
          <w:szCs w:val="18"/>
          <w:lang w:val="en-US"/>
        </w:rPr>
        <w:fldChar w:fldCharType="end"/>
      </w:r>
    </w:p>
    <w:p w14:paraId="4C103CC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_Toc21620 </w:instrText>
      </w:r>
      <w:r>
        <w:rPr>
          <w:rFonts w:hint="eastAsia" w:ascii="华文中宋" w:hAnsi="华文中宋" w:eastAsia="华文中宋" w:cs="华文中宋"/>
          <w:szCs w:val="18"/>
          <w:lang w:val="en-US"/>
        </w:rPr>
        <w:fldChar w:fldCharType="separate"/>
      </w:r>
      <w:r>
        <w:rPr>
          <w:rFonts w:hint="eastAsia"/>
          <w:lang w:val="en-US"/>
        </w:rPr>
        <w:t>3.2.1. 岳阳林区现状情况</w:t>
      </w:r>
      <w:r>
        <w:tab/>
      </w:r>
      <w:r>
        <w:fldChar w:fldCharType="begin"/>
      </w:r>
      <w:r>
        <w:instrText xml:space="preserve"> PAGEREF _Toc21620 \h </w:instrText>
      </w:r>
      <w:r>
        <w:fldChar w:fldCharType="separate"/>
      </w:r>
      <w:r>
        <w:t>12</w:t>
      </w:r>
      <w:r>
        <w:fldChar w:fldCharType="end"/>
      </w:r>
      <w:r>
        <w:rPr>
          <w:rFonts w:hint="eastAsia" w:ascii="华文中宋" w:hAnsi="华文中宋" w:eastAsia="华文中宋" w:cs="华文中宋"/>
          <w:szCs w:val="18"/>
          <w:lang w:val="en-US"/>
        </w:rPr>
        <w:fldChar w:fldCharType="end"/>
      </w:r>
    </w:p>
    <w:p w14:paraId="036BBD7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_Toc15217 </w:instrText>
      </w:r>
      <w:r>
        <w:rPr>
          <w:rFonts w:hint="eastAsia" w:ascii="华文中宋" w:hAnsi="华文中宋" w:eastAsia="华文中宋" w:cs="华文中宋"/>
          <w:szCs w:val="18"/>
          <w:lang w:val="en-US"/>
        </w:rPr>
        <w:fldChar w:fldCharType="separate"/>
      </w:r>
      <w:r>
        <w:rPr>
          <w:rFonts w:hint="eastAsia"/>
          <w:lang w:val="en-US"/>
        </w:rPr>
        <w:t>3.2.2. 市林业局及区县现状分析</w:t>
      </w:r>
      <w:r>
        <w:tab/>
      </w:r>
      <w:r>
        <w:fldChar w:fldCharType="begin"/>
      </w:r>
      <w:r>
        <w:instrText xml:space="preserve"> PAGEREF _Toc15217 \h </w:instrText>
      </w:r>
      <w:r>
        <w:fldChar w:fldCharType="separate"/>
      </w:r>
      <w:r>
        <w:t>13</w:t>
      </w:r>
      <w:r>
        <w:fldChar w:fldCharType="end"/>
      </w:r>
      <w:r>
        <w:rPr>
          <w:rFonts w:hint="eastAsia" w:ascii="华文中宋" w:hAnsi="华文中宋" w:eastAsia="华文中宋" w:cs="华文中宋"/>
          <w:szCs w:val="18"/>
          <w:lang w:val="en-US"/>
        </w:rPr>
        <w:fldChar w:fldCharType="end"/>
      </w:r>
    </w:p>
    <w:p w14:paraId="01FDD2A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_Toc23167 </w:instrText>
      </w:r>
      <w:r>
        <w:rPr>
          <w:rFonts w:hint="eastAsia" w:ascii="华文中宋" w:hAnsi="华文中宋" w:eastAsia="华文中宋" w:cs="华文中宋"/>
          <w:szCs w:val="18"/>
          <w:lang w:val="en-US"/>
        </w:rPr>
        <w:fldChar w:fldCharType="separate"/>
      </w:r>
      <w:r>
        <w:rPr>
          <w:rFonts w:hint="eastAsia"/>
          <w:lang w:val="en-US"/>
        </w:rPr>
        <w:t>3.2.3. 业务现状分析</w:t>
      </w:r>
      <w:r>
        <w:tab/>
      </w:r>
      <w:r>
        <w:fldChar w:fldCharType="begin"/>
      </w:r>
      <w:r>
        <w:instrText xml:space="preserve"> PAGEREF _Toc23167 \h </w:instrText>
      </w:r>
      <w:r>
        <w:fldChar w:fldCharType="separate"/>
      </w:r>
      <w:r>
        <w:t>15</w:t>
      </w:r>
      <w:r>
        <w:fldChar w:fldCharType="end"/>
      </w:r>
      <w:r>
        <w:rPr>
          <w:rFonts w:hint="eastAsia" w:ascii="华文中宋" w:hAnsi="华文中宋" w:eastAsia="华文中宋" w:cs="华文中宋"/>
          <w:szCs w:val="18"/>
          <w:lang w:val="en-US"/>
        </w:rPr>
        <w:fldChar w:fldCharType="end"/>
      </w:r>
    </w:p>
    <w:p w14:paraId="22EB1A0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_Toc19130 </w:instrText>
      </w:r>
      <w:r>
        <w:rPr>
          <w:rFonts w:hint="eastAsia" w:ascii="华文中宋" w:hAnsi="华文中宋" w:eastAsia="华文中宋" w:cs="华文中宋"/>
          <w:szCs w:val="18"/>
          <w:lang w:val="en-US"/>
        </w:rPr>
        <w:fldChar w:fldCharType="separate"/>
      </w:r>
      <w:r>
        <w:rPr>
          <w:rFonts w:hint="eastAsia"/>
          <w:lang w:val="en-US"/>
        </w:rPr>
        <w:t>3.2.4. 具体问题和差距</w:t>
      </w:r>
      <w:r>
        <w:tab/>
      </w:r>
      <w:r>
        <w:fldChar w:fldCharType="begin"/>
      </w:r>
      <w:r>
        <w:instrText xml:space="preserve"> PAGEREF _Toc19130 \h </w:instrText>
      </w:r>
      <w:r>
        <w:fldChar w:fldCharType="separate"/>
      </w:r>
      <w:r>
        <w:t>18</w:t>
      </w:r>
      <w:r>
        <w:fldChar w:fldCharType="end"/>
      </w:r>
      <w:r>
        <w:rPr>
          <w:rFonts w:hint="eastAsia" w:ascii="华文中宋" w:hAnsi="华文中宋" w:eastAsia="华文中宋" w:cs="华文中宋"/>
          <w:szCs w:val="18"/>
          <w:lang w:val="en-US"/>
        </w:rPr>
        <w:fldChar w:fldCharType="end"/>
      </w:r>
    </w:p>
    <w:p w14:paraId="2D928708">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_Toc30088 </w:instrText>
      </w:r>
      <w:r>
        <w:rPr>
          <w:rFonts w:hint="eastAsia" w:ascii="华文中宋" w:hAnsi="华文中宋" w:eastAsia="华文中宋" w:cs="华文中宋"/>
          <w:szCs w:val="18"/>
          <w:lang w:val="en-US"/>
        </w:rPr>
        <w:fldChar w:fldCharType="separate"/>
      </w:r>
      <w:r>
        <w:rPr>
          <w:rFonts w:hint="eastAsia"/>
          <w:lang w:val="en-US"/>
        </w:rPr>
        <w:t>3.3. 项目建设的必要性</w:t>
      </w:r>
      <w:r>
        <w:tab/>
      </w:r>
      <w:r>
        <w:fldChar w:fldCharType="begin"/>
      </w:r>
      <w:r>
        <w:instrText xml:space="preserve"> PAGEREF _Toc30088 \h </w:instrText>
      </w:r>
      <w:r>
        <w:fldChar w:fldCharType="separate"/>
      </w:r>
      <w:r>
        <w:t>23</w:t>
      </w:r>
      <w:r>
        <w:fldChar w:fldCharType="end"/>
      </w:r>
      <w:r>
        <w:rPr>
          <w:rFonts w:hint="eastAsia" w:ascii="华文中宋" w:hAnsi="华文中宋" w:eastAsia="华文中宋" w:cs="华文中宋"/>
          <w:szCs w:val="18"/>
          <w:lang w:val="en-US"/>
        </w:rPr>
        <w:fldChar w:fldCharType="end"/>
      </w:r>
    </w:p>
    <w:p w14:paraId="502EF59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_Toc6029 </w:instrText>
      </w:r>
      <w:r>
        <w:rPr>
          <w:rFonts w:hint="eastAsia" w:ascii="华文中宋" w:hAnsi="华文中宋" w:eastAsia="华文中宋" w:cs="华文中宋"/>
          <w:szCs w:val="18"/>
          <w:lang w:val="en-US"/>
        </w:rPr>
        <w:fldChar w:fldCharType="separate"/>
      </w:r>
      <w:r>
        <w:rPr>
          <w:rFonts w:hint="eastAsia"/>
        </w:rPr>
        <w:t xml:space="preserve">3.3.1. </w:t>
      </w:r>
      <w:r>
        <w:t>项目建设是深入贯彻习近平生态文明重要思想的举措</w:t>
      </w:r>
      <w:r>
        <w:tab/>
      </w:r>
      <w:r>
        <w:fldChar w:fldCharType="begin"/>
      </w:r>
      <w:r>
        <w:instrText xml:space="preserve"> PAGEREF _Toc6029 \h </w:instrText>
      </w:r>
      <w:r>
        <w:fldChar w:fldCharType="separate"/>
      </w:r>
      <w:r>
        <w:t>23</w:t>
      </w:r>
      <w:r>
        <w:fldChar w:fldCharType="end"/>
      </w:r>
      <w:r>
        <w:rPr>
          <w:rFonts w:hint="eastAsia" w:ascii="华文中宋" w:hAnsi="华文中宋" w:eastAsia="华文中宋" w:cs="华文中宋"/>
          <w:szCs w:val="18"/>
          <w:lang w:val="en-US"/>
        </w:rPr>
        <w:fldChar w:fldCharType="end"/>
      </w:r>
    </w:p>
    <w:p w14:paraId="76E778D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_Toc19298 </w:instrText>
      </w:r>
      <w:r>
        <w:rPr>
          <w:rFonts w:hint="eastAsia" w:ascii="华文中宋" w:hAnsi="华文中宋" w:eastAsia="华文中宋" w:cs="华文中宋"/>
          <w:szCs w:val="18"/>
          <w:lang w:val="en-US"/>
        </w:rPr>
        <w:fldChar w:fldCharType="separate"/>
      </w:r>
      <w:r>
        <w:rPr>
          <w:rFonts w:hint="eastAsia"/>
        </w:rPr>
        <w:t xml:space="preserve">3.3.2. </w:t>
      </w:r>
      <w:r>
        <w:t>项目建设是适应新形势下森林防灭火工作的现实需要</w:t>
      </w:r>
      <w:r>
        <w:tab/>
      </w:r>
      <w:r>
        <w:fldChar w:fldCharType="begin"/>
      </w:r>
      <w:r>
        <w:instrText xml:space="preserve"> PAGEREF _Toc19298 \h </w:instrText>
      </w:r>
      <w:r>
        <w:fldChar w:fldCharType="separate"/>
      </w:r>
      <w:r>
        <w:t>24</w:t>
      </w:r>
      <w:r>
        <w:fldChar w:fldCharType="end"/>
      </w:r>
      <w:r>
        <w:rPr>
          <w:rFonts w:hint="eastAsia" w:ascii="华文中宋" w:hAnsi="华文中宋" w:eastAsia="华文中宋" w:cs="华文中宋"/>
          <w:szCs w:val="18"/>
          <w:lang w:val="en-US"/>
        </w:rPr>
        <w:fldChar w:fldCharType="end"/>
      </w:r>
    </w:p>
    <w:p w14:paraId="24274ECE">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_Toc7846 </w:instrText>
      </w:r>
      <w:r>
        <w:rPr>
          <w:rFonts w:hint="eastAsia" w:ascii="华文中宋" w:hAnsi="华文中宋" w:eastAsia="华文中宋" w:cs="华文中宋"/>
          <w:szCs w:val="18"/>
          <w:lang w:val="en-US"/>
        </w:rPr>
        <w:fldChar w:fldCharType="separate"/>
      </w:r>
      <w:r>
        <w:rPr>
          <w:rFonts w:hint="eastAsia"/>
          <w:lang w:val="en-US"/>
        </w:rPr>
        <w:t>3.3.3. 项目建设是服务长江经济带建设的战略需求</w:t>
      </w:r>
      <w:r>
        <w:tab/>
      </w:r>
      <w:r>
        <w:fldChar w:fldCharType="begin"/>
      </w:r>
      <w:r>
        <w:instrText xml:space="preserve"> PAGEREF _Toc7846 \h </w:instrText>
      </w:r>
      <w:r>
        <w:fldChar w:fldCharType="separate"/>
      </w:r>
      <w:r>
        <w:t>24</w:t>
      </w:r>
      <w:r>
        <w:fldChar w:fldCharType="end"/>
      </w:r>
      <w:r>
        <w:rPr>
          <w:rFonts w:hint="eastAsia" w:ascii="华文中宋" w:hAnsi="华文中宋" w:eastAsia="华文中宋" w:cs="华文中宋"/>
          <w:szCs w:val="18"/>
          <w:lang w:val="en-US"/>
        </w:rPr>
        <w:fldChar w:fldCharType="end"/>
      </w:r>
    </w:p>
    <w:p w14:paraId="4966326C">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_Toc25410 </w:instrText>
      </w:r>
      <w:r>
        <w:rPr>
          <w:rFonts w:hint="eastAsia" w:ascii="华文中宋" w:hAnsi="华文中宋" w:eastAsia="华文中宋" w:cs="华文中宋"/>
          <w:szCs w:val="18"/>
          <w:lang w:val="en-US"/>
        </w:rPr>
        <w:fldChar w:fldCharType="separate"/>
      </w:r>
      <w:r>
        <w:rPr>
          <w:rFonts w:hint="eastAsia"/>
          <w:lang w:val="en-US"/>
        </w:rPr>
        <w:t>第四章 需求分析</w:t>
      </w:r>
      <w:r>
        <w:tab/>
      </w:r>
      <w:r>
        <w:fldChar w:fldCharType="begin"/>
      </w:r>
      <w:r>
        <w:instrText xml:space="preserve"> PAGEREF _Toc25410 \h </w:instrText>
      </w:r>
      <w:r>
        <w:fldChar w:fldCharType="separate"/>
      </w:r>
      <w:r>
        <w:t>25</w:t>
      </w:r>
      <w:r>
        <w:fldChar w:fldCharType="end"/>
      </w:r>
      <w:r>
        <w:rPr>
          <w:rFonts w:hint="eastAsia" w:ascii="华文中宋" w:hAnsi="华文中宋" w:eastAsia="华文中宋" w:cs="华文中宋"/>
          <w:szCs w:val="18"/>
          <w:lang w:val="en-US"/>
        </w:rPr>
        <w:fldChar w:fldCharType="end"/>
      </w:r>
    </w:p>
    <w:p w14:paraId="2E895AA8">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_Toc31271 </w:instrText>
      </w:r>
      <w:r>
        <w:rPr>
          <w:rFonts w:hint="eastAsia" w:ascii="华文中宋" w:hAnsi="华文中宋" w:eastAsia="华文中宋" w:cs="华文中宋"/>
          <w:szCs w:val="18"/>
          <w:lang w:val="en-US"/>
        </w:rPr>
        <w:fldChar w:fldCharType="separate"/>
      </w:r>
      <w:r>
        <w:rPr>
          <w:rFonts w:hint="eastAsia"/>
          <w:lang w:val="en-US"/>
        </w:rPr>
        <w:t>4.1. 与业务职能相关的业务目标分析</w:t>
      </w:r>
      <w:r>
        <w:tab/>
      </w:r>
      <w:r>
        <w:fldChar w:fldCharType="begin"/>
      </w:r>
      <w:r>
        <w:instrText xml:space="preserve"> PAGEREF _Toc31271 \h </w:instrText>
      </w:r>
      <w:r>
        <w:fldChar w:fldCharType="separate"/>
      </w:r>
      <w:r>
        <w:t>25</w:t>
      </w:r>
      <w:r>
        <w:fldChar w:fldCharType="end"/>
      </w:r>
      <w:r>
        <w:rPr>
          <w:rFonts w:hint="eastAsia" w:ascii="华文中宋" w:hAnsi="华文中宋" w:eastAsia="华文中宋" w:cs="华文中宋"/>
          <w:szCs w:val="18"/>
          <w:lang w:val="en-US"/>
        </w:rPr>
        <w:fldChar w:fldCharType="end"/>
      </w:r>
    </w:p>
    <w:p w14:paraId="4B1E2F3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_Toc26489 </w:instrText>
      </w:r>
      <w:r>
        <w:rPr>
          <w:rFonts w:hint="eastAsia" w:ascii="华文中宋" w:hAnsi="华文中宋" w:eastAsia="华文中宋" w:cs="华文中宋"/>
          <w:szCs w:val="18"/>
          <w:lang w:val="en-US"/>
        </w:rPr>
        <w:fldChar w:fldCharType="separate"/>
      </w:r>
      <w:r>
        <w:rPr>
          <w:rFonts w:hint="eastAsia"/>
          <w:lang w:val="en-US"/>
        </w:rPr>
        <w:t>4.2. 业务功能、业务流程和业务量分析</w:t>
      </w:r>
      <w:r>
        <w:tab/>
      </w:r>
      <w:r>
        <w:fldChar w:fldCharType="begin"/>
      </w:r>
      <w:r>
        <w:instrText xml:space="preserve"> PAGEREF _Toc26489 \h </w:instrText>
      </w:r>
      <w:r>
        <w:fldChar w:fldCharType="separate"/>
      </w:r>
      <w:r>
        <w:t>26</w:t>
      </w:r>
      <w:r>
        <w:fldChar w:fldCharType="end"/>
      </w:r>
      <w:r>
        <w:rPr>
          <w:rFonts w:hint="eastAsia" w:ascii="华文中宋" w:hAnsi="华文中宋" w:eastAsia="华文中宋" w:cs="华文中宋"/>
          <w:szCs w:val="18"/>
          <w:lang w:val="en-US"/>
        </w:rPr>
        <w:fldChar w:fldCharType="end"/>
      </w:r>
    </w:p>
    <w:p w14:paraId="6730704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_Toc10479 </w:instrText>
      </w:r>
      <w:r>
        <w:rPr>
          <w:rFonts w:hint="eastAsia" w:ascii="华文中宋" w:hAnsi="华文中宋" w:eastAsia="华文中宋" w:cs="华文中宋"/>
          <w:szCs w:val="18"/>
          <w:lang w:val="en-US"/>
        </w:rPr>
        <w:fldChar w:fldCharType="separate"/>
      </w:r>
      <w:r>
        <w:rPr>
          <w:rFonts w:hint="eastAsia"/>
          <w:lang w:val="en-US"/>
        </w:rPr>
        <w:t>4.2.1. 业务功能分析</w:t>
      </w:r>
      <w:r>
        <w:tab/>
      </w:r>
      <w:r>
        <w:fldChar w:fldCharType="begin"/>
      </w:r>
      <w:r>
        <w:instrText xml:space="preserve"> PAGEREF _Toc10479 \h </w:instrText>
      </w:r>
      <w:r>
        <w:fldChar w:fldCharType="separate"/>
      </w:r>
      <w:r>
        <w:t>26</w:t>
      </w:r>
      <w:r>
        <w:fldChar w:fldCharType="end"/>
      </w:r>
      <w:r>
        <w:rPr>
          <w:rFonts w:hint="eastAsia" w:ascii="华文中宋" w:hAnsi="华文中宋" w:eastAsia="华文中宋" w:cs="华文中宋"/>
          <w:szCs w:val="18"/>
          <w:lang w:val="en-US"/>
        </w:rPr>
        <w:fldChar w:fldCharType="end"/>
      </w:r>
    </w:p>
    <w:p w14:paraId="565F473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_Toc10743 </w:instrText>
      </w:r>
      <w:r>
        <w:rPr>
          <w:rFonts w:hint="eastAsia" w:ascii="华文中宋" w:hAnsi="华文中宋" w:eastAsia="华文中宋" w:cs="华文中宋"/>
          <w:szCs w:val="18"/>
          <w:lang w:val="en-US"/>
        </w:rPr>
        <w:fldChar w:fldCharType="separate"/>
      </w:r>
      <w:r>
        <w:rPr>
          <w:rFonts w:hint="eastAsia"/>
          <w:lang w:val="en-US"/>
        </w:rPr>
        <w:t>4.2.2. 业务流程</w:t>
      </w:r>
      <w:r>
        <w:tab/>
      </w:r>
      <w:r>
        <w:fldChar w:fldCharType="begin"/>
      </w:r>
      <w:r>
        <w:instrText xml:space="preserve"> PAGEREF _Toc10743 \h </w:instrText>
      </w:r>
      <w:r>
        <w:fldChar w:fldCharType="separate"/>
      </w:r>
      <w:r>
        <w:t>31</w:t>
      </w:r>
      <w:r>
        <w:fldChar w:fldCharType="end"/>
      </w:r>
      <w:r>
        <w:rPr>
          <w:rFonts w:hint="eastAsia" w:ascii="华文中宋" w:hAnsi="华文中宋" w:eastAsia="华文中宋" w:cs="华文中宋"/>
          <w:szCs w:val="18"/>
          <w:lang w:val="en-US"/>
        </w:rPr>
        <w:fldChar w:fldCharType="end"/>
      </w:r>
    </w:p>
    <w:p w14:paraId="63F22F6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_Toc29073 </w:instrText>
      </w:r>
      <w:r>
        <w:rPr>
          <w:rFonts w:hint="eastAsia" w:ascii="华文中宋" w:hAnsi="华文中宋" w:eastAsia="华文中宋" w:cs="华文中宋"/>
          <w:szCs w:val="18"/>
          <w:lang w:val="en-US"/>
        </w:rPr>
        <w:fldChar w:fldCharType="separate"/>
      </w:r>
      <w:r>
        <w:rPr>
          <w:rFonts w:hint="eastAsia"/>
          <w:lang w:val="en-US"/>
        </w:rPr>
        <w:t>4.2.3. 业务量分析</w:t>
      </w:r>
      <w:r>
        <w:tab/>
      </w:r>
      <w:r>
        <w:fldChar w:fldCharType="begin"/>
      </w:r>
      <w:r>
        <w:instrText xml:space="preserve"> PAGEREF _Toc29073 \h </w:instrText>
      </w:r>
      <w:r>
        <w:fldChar w:fldCharType="separate"/>
      </w:r>
      <w:r>
        <w:t>31</w:t>
      </w:r>
      <w:r>
        <w:fldChar w:fldCharType="end"/>
      </w:r>
      <w:r>
        <w:rPr>
          <w:rFonts w:hint="eastAsia" w:ascii="华文中宋" w:hAnsi="华文中宋" w:eastAsia="华文中宋" w:cs="华文中宋"/>
          <w:szCs w:val="18"/>
          <w:lang w:val="en-US"/>
        </w:rPr>
        <w:fldChar w:fldCharType="end"/>
      </w:r>
    </w:p>
    <w:p w14:paraId="270D3073">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_Toc10717 </w:instrText>
      </w:r>
      <w:r>
        <w:rPr>
          <w:rFonts w:hint="eastAsia" w:ascii="华文中宋" w:hAnsi="华文中宋" w:eastAsia="华文中宋" w:cs="华文中宋"/>
          <w:szCs w:val="18"/>
          <w:lang w:val="en-US"/>
        </w:rPr>
        <w:fldChar w:fldCharType="separate"/>
      </w:r>
      <w:r>
        <w:rPr>
          <w:rFonts w:hint="eastAsia"/>
          <w:lang w:val="en-US"/>
        </w:rPr>
        <w:t>4.3. 信息量传输量和存储量分析与预测</w:t>
      </w:r>
      <w:r>
        <w:tab/>
      </w:r>
      <w:r>
        <w:fldChar w:fldCharType="begin"/>
      </w:r>
      <w:r>
        <w:instrText xml:space="preserve"> PAGEREF _Toc10717 \h </w:instrText>
      </w:r>
      <w:r>
        <w:fldChar w:fldCharType="separate"/>
      </w:r>
      <w:r>
        <w:t>31</w:t>
      </w:r>
      <w:r>
        <w:fldChar w:fldCharType="end"/>
      </w:r>
      <w:r>
        <w:rPr>
          <w:rFonts w:hint="eastAsia" w:ascii="华文中宋" w:hAnsi="华文中宋" w:eastAsia="华文中宋" w:cs="华文中宋"/>
          <w:szCs w:val="18"/>
          <w:lang w:val="en-US"/>
        </w:rPr>
        <w:fldChar w:fldCharType="end"/>
      </w:r>
    </w:p>
    <w:p w14:paraId="61D0026A">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_Toc17947 </w:instrText>
      </w:r>
      <w:r>
        <w:rPr>
          <w:rFonts w:hint="eastAsia" w:ascii="华文中宋" w:hAnsi="华文中宋" w:eastAsia="华文中宋" w:cs="华文中宋"/>
          <w:szCs w:val="18"/>
          <w:lang w:val="en-US"/>
        </w:rPr>
        <w:fldChar w:fldCharType="separate"/>
      </w:r>
      <w:r>
        <w:rPr>
          <w:rFonts w:hint="eastAsia"/>
          <w:lang w:val="en-US"/>
        </w:rPr>
        <w:t>4.4. 数据结构与信息资源共享需求分析</w:t>
      </w:r>
      <w:r>
        <w:tab/>
      </w:r>
      <w:r>
        <w:fldChar w:fldCharType="begin"/>
      </w:r>
      <w:r>
        <w:instrText xml:space="preserve"> PAGEREF _Toc17947 \h </w:instrText>
      </w:r>
      <w:r>
        <w:fldChar w:fldCharType="separate"/>
      </w:r>
      <w:r>
        <w:t>32</w:t>
      </w:r>
      <w:r>
        <w:fldChar w:fldCharType="end"/>
      </w:r>
      <w:r>
        <w:rPr>
          <w:rFonts w:hint="eastAsia" w:ascii="华文中宋" w:hAnsi="华文中宋" w:eastAsia="华文中宋" w:cs="华文中宋"/>
          <w:szCs w:val="18"/>
          <w:lang w:val="en-US"/>
        </w:rPr>
        <w:fldChar w:fldCharType="end"/>
      </w:r>
    </w:p>
    <w:p w14:paraId="47A1B00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_Toc2730 </w:instrText>
      </w:r>
      <w:r>
        <w:rPr>
          <w:rFonts w:hint="eastAsia" w:ascii="华文中宋" w:hAnsi="华文中宋" w:eastAsia="华文中宋" w:cs="华文中宋"/>
          <w:szCs w:val="18"/>
          <w:lang w:val="en-US"/>
        </w:rPr>
        <w:fldChar w:fldCharType="separate"/>
      </w:r>
      <w:r>
        <w:rPr>
          <w:rFonts w:hint="eastAsia"/>
          <w:lang w:val="en-US"/>
        </w:rPr>
        <w:t>4.4.1. 本项目相关系统的数据结构</w:t>
      </w:r>
      <w:r>
        <w:tab/>
      </w:r>
      <w:r>
        <w:fldChar w:fldCharType="begin"/>
      </w:r>
      <w:r>
        <w:instrText xml:space="preserve"> PAGEREF _Toc2730 \h </w:instrText>
      </w:r>
      <w:r>
        <w:fldChar w:fldCharType="separate"/>
      </w:r>
      <w:r>
        <w:t>32</w:t>
      </w:r>
      <w:r>
        <w:fldChar w:fldCharType="end"/>
      </w:r>
      <w:r>
        <w:rPr>
          <w:rFonts w:hint="eastAsia" w:ascii="华文中宋" w:hAnsi="华文中宋" w:eastAsia="华文中宋" w:cs="华文中宋"/>
          <w:szCs w:val="18"/>
          <w:lang w:val="en-US"/>
        </w:rPr>
        <w:fldChar w:fldCharType="end"/>
      </w:r>
    </w:p>
    <w:p w14:paraId="52CF9F1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_Toc30483 </w:instrText>
      </w:r>
      <w:r>
        <w:rPr>
          <w:rFonts w:hint="eastAsia" w:ascii="华文中宋" w:hAnsi="华文中宋" w:eastAsia="华文中宋" w:cs="华文中宋"/>
          <w:szCs w:val="18"/>
          <w:lang w:val="en-US"/>
        </w:rPr>
        <w:fldChar w:fldCharType="separate"/>
      </w:r>
      <w:r>
        <w:rPr>
          <w:rFonts w:hint="eastAsia"/>
          <w:lang w:val="en-US"/>
        </w:rPr>
        <w:t>4.4.2. 项目数据情况综合说明</w:t>
      </w:r>
      <w:r>
        <w:tab/>
      </w:r>
      <w:r>
        <w:fldChar w:fldCharType="begin"/>
      </w:r>
      <w:r>
        <w:instrText xml:space="preserve"> PAGEREF _Toc30483 \h </w:instrText>
      </w:r>
      <w:r>
        <w:fldChar w:fldCharType="separate"/>
      </w:r>
      <w:r>
        <w:t>34</w:t>
      </w:r>
      <w:r>
        <w:fldChar w:fldCharType="end"/>
      </w:r>
      <w:r>
        <w:rPr>
          <w:rFonts w:hint="eastAsia" w:ascii="华文中宋" w:hAnsi="华文中宋" w:eastAsia="华文中宋" w:cs="华文中宋"/>
          <w:szCs w:val="18"/>
          <w:lang w:val="en-US"/>
        </w:rPr>
        <w:fldChar w:fldCharType="end"/>
      </w:r>
    </w:p>
    <w:p w14:paraId="4D7D9C19">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_Toc12744 </w:instrText>
      </w:r>
      <w:r>
        <w:rPr>
          <w:rFonts w:hint="eastAsia" w:ascii="华文中宋" w:hAnsi="华文中宋" w:eastAsia="华文中宋" w:cs="华文中宋"/>
          <w:szCs w:val="18"/>
          <w:lang w:val="en-US"/>
        </w:rPr>
        <w:fldChar w:fldCharType="separate"/>
      </w:r>
      <w:r>
        <w:rPr>
          <w:rFonts w:hint="eastAsia"/>
          <w:lang w:val="en-US"/>
        </w:rPr>
        <w:t>4.5. 服务对象分析</w:t>
      </w:r>
      <w:r>
        <w:tab/>
      </w:r>
      <w:r>
        <w:fldChar w:fldCharType="begin"/>
      </w:r>
      <w:r>
        <w:instrText xml:space="preserve"> PAGEREF _Toc12744 \h </w:instrText>
      </w:r>
      <w:r>
        <w:fldChar w:fldCharType="separate"/>
      </w:r>
      <w:r>
        <w:t>36</w:t>
      </w:r>
      <w:r>
        <w:fldChar w:fldCharType="end"/>
      </w:r>
      <w:r>
        <w:rPr>
          <w:rFonts w:hint="eastAsia" w:ascii="华文中宋" w:hAnsi="华文中宋" w:eastAsia="华文中宋" w:cs="华文中宋"/>
          <w:szCs w:val="18"/>
          <w:lang w:val="en-US"/>
        </w:rPr>
        <w:fldChar w:fldCharType="end"/>
      </w:r>
    </w:p>
    <w:p w14:paraId="18FE238E">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_Toc14157 </w:instrText>
      </w:r>
      <w:r>
        <w:rPr>
          <w:rFonts w:hint="eastAsia" w:ascii="华文中宋" w:hAnsi="华文中宋" w:eastAsia="华文中宋" w:cs="华文中宋"/>
          <w:szCs w:val="18"/>
          <w:lang w:val="en-US"/>
        </w:rPr>
        <w:fldChar w:fldCharType="separate"/>
      </w:r>
      <w:r>
        <w:rPr>
          <w:rFonts w:hint="eastAsia"/>
          <w:lang w:val="en-US"/>
        </w:rPr>
        <w:t>4.6. 业务协同分析</w:t>
      </w:r>
      <w:r>
        <w:tab/>
      </w:r>
      <w:r>
        <w:fldChar w:fldCharType="begin"/>
      </w:r>
      <w:r>
        <w:instrText xml:space="preserve"> PAGEREF _Toc14157 \h </w:instrText>
      </w:r>
      <w:r>
        <w:fldChar w:fldCharType="separate"/>
      </w:r>
      <w:r>
        <w:t>37</w:t>
      </w:r>
      <w:r>
        <w:fldChar w:fldCharType="end"/>
      </w:r>
      <w:r>
        <w:rPr>
          <w:rFonts w:hint="eastAsia" w:ascii="华文中宋" w:hAnsi="华文中宋" w:eastAsia="华文中宋" w:cs="华文中宋"/>
          <w:szCs w:val="18"/>
          <w:lang w:val="en-US"/>
        </w:rPr>
        <w:fldChar w:fldCharType="end"/>
      </w:r>
    </w:p>
    <w:p w14:paraId="5AF8552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_Toc9600 </w:instrText>
      </w:r>
      <w:r>
        <w:rPr>
          <w:rFonts w:hint="eastAsia" w:ascii="华文中宋" w:hAnsi="华文中宋" w:eastAsia="华文中宋" w:cs="华文中宋"/>
          <w:szCs w:val="18"/>
          <w:lang w:val="en-US"/>
        </w:rPr>
        <w:fldChar w:fldCharType="separate"/>
      </w:r>
      <w:r>
        <w:rPr>
          <w:rFonts w:hint="eastAsia"/>
          <w:lang w:val="en-US"/>
        </w:rPr>
        <w:t>4.6.1. 关联系统需求分析</w:t>
      </w:r>
      <w:r>
        <w:tab/>
      </w:r>
      <w:r>
        <w:fldChar w:fldCharType="begin"/>
      </w:r>
      <w:r>
        <w:instrText xml:space="preserve"> PAGEREF _Toc9600 \h </w:instrText>
      </w:r>
      <w:r>
        <w:fldChar w:fldCharType="separate"/>
      </w:r>
      <w:r>
        <w:t>37</w:t>
      </w:r>
      <w:r>
        <w:fldChar w:fldCharType="end"/>
      </w:r>
      <w:r>
        <w:rPr>
          <w:rFonts w:hint="eastAsia" w:ascii="华文中宋" w:hAnsi="华文中宋" w:eastAsia="华文中宋" w:cs="华文中宋"/>
          <w:szCs w:val="18"/>
          <w:lang w:val="en-US"/>
        </w:rPr>
        <w:fldChar w:fldCharType="end"/>
      </w:r>
    </w:p>
    <w:p w14:paraId="1ACCF89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_Toc16269 </w:instrText>
      </w:r>
      <w:r>
        <w:rPr>
          <w:rFonts w:hint="eastAsia" w:ascii="华文中宋" w:hAnsi="华文中宋" w:eastAsia="华文中宋" w:cs="华文中宋"/>
          <w:szCs w:val="18"/>
          <w:lang w:val="en-US"/>
        </w:rPr>
        <w:fldChar w:fldCharType="separate"/>
      </w:r>
      <w:r>
        <w:rPr>
          <w:rFonts w:hint="eastAsia"/>
          <w:lang w:val="en-US"/>
        </w:rPr>
        <w:t>4.6.2. 接口需求分析</w:t>
      </w:r>
      <w:r>
        <w:tab/>
      </w:r>
      <w:r>
        <w:fldChar w:fldCharType="begin"/>
      </w:r>
      <w:r>
        <w:instrText xml:space="preserve"> PAGEREF _Toc16269 \h </w:instrText>
      </w:r>
      <w:r>
        <w:fldChar w:fldCharType="separate"/>
      </w:r>
      <w:r>
        <w:t>37</w:t>
      </w:r>
      <w:r>
        <w:fldChar w:fldCharType="end"/>
      </w:r>
      <w:r>
        <w:rPr>
          <w:rFonts w:hint="eastAsia" w:ascii="华文中宋" w:hAnsi="华文中宋" w:eastAsia="华文中宋" w:cs="华文中宋"/>
          <w:szCs w:val="18"/>
          <w:lang w:val="en-US"/>
        </w:rPr>
        <w:fldChar w:fldCharType="end"/>
      </w:r>
    </w:p>
    <w:p w14:paraId="2FE36EEA">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_Toc24742 </w:instrText>
      </w:r>
      <w:r>
        <w:rPr>
          <w:rFonts w:hint="eastAsia" w:ascii="华文中宋" w:hAnsi="华文中宋" w:eastAsia="华文中宋" w:cs="华文中宋"/>
          <w:szCs w:val="18"/>
          <w:lang w:val="en-US"/>
        </w:rPr>
        <w:fldChar w:fldCharType="separate"/>
      </w:r>
      <w:r>
        <w:rPr>
          <w:rFonts w:hint="eastAsia"/>
          <w:lang w:val="en-US"/>
        </w:rPr>
        <w:t>4.6.3. 项目边界及约束条件</w:t>
      </w:r>
      <w:r>
        <w:tab/>
      </w:r>
      <w:r>
        <w:fldChar w:fldCharType="begin"/>
      </w:r>
      <w:r>
        <w:instrText xml:space="preserve"> PAGEREF _Toc24742 \h </w:instrText>
      </w:r>
      <w:r>
        <w:fldChar w:fldCharType="separate"/>
      </w:r>
      <w:r>
        <w:t>37</w:t>
      </w:r>
      <w:r>
        <w:fldChar w:fldCharType="end"/>
      </w:r>
      <w:r>
        <w:rPr>
          <w:rFonts w:hint="eastAsia" w:ascii="华文中宋" w:hAnsi="华文中宋" w:eastAsia="华文中宋" w:cs="华文中宋"/>
          <w:szCs w:val="18"/>
          <w:lang w:val="en-US"/>
        </w:rPr>
        <w:fldChar w:fldCharType="end"/>
      </w:r>
    </w:p>
    <w:p w14:paraId="21F786E5">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_Toc6156 </w:instrText>
      </w:r>
      <w:r>
        <w:rPr>
          <w:rFonts w:hint="eastAsia" w:ascii="华文中宋" w:hAnsi="华文中宋" w:eastAsia="华文中宋" w:cs="华文中宋"/>
          <w:szCs w:val="18"/>
          <w:lang w:val="en-US"/>
        </w:rPr>
        <w:fldChar w:fldCharType="separate"/>
      </w:r>
      <w:r>
        <w:rPr>
          <w:rFonts w:hint="eastAsia"/>
          <w:lang w:val="en-US"/>
        </w:rPr>
        <w:t>4.7. 支撑能力分析</w:t>
      </w:r>
      <w:r>
        <w:tab/>
      </w:r>
      <w:r>
        <w:fldChar w:fldCharType="begin"/>
      </w:r>
      <w:r>
        <w:instrText xml:space="preserve"> PAGEREF _Toc6156 \h </w:instrText>
      </w:r>
      <w:r>
        <w:fldChar w:fldCharType="separate"/>
      </w:r>
      <w:r>
        <w:t>37</w:t>
      </w:r>
      <w:r>
        <w:fldChar w:fldCharType="end"/>
      </w:r>
      <w:r>
        <w:rPr>
          <w:rFonts w:hint="eastAsia" w:ascii="华文中宋" w:hAnsi="华文中宋" w:eastAsia="华文中宋" w:cs="华文中宋"/>
          <w:szCs w:val="18"/>
          <w:lang w:val="en-US"/>
        </w:rPr>
        <w:fldChar w:fldCharType="end"/>
      </w:r>
    </w:p>
    <w:p w14:paraId="482EB188">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_Toc10356 </w:instrText>
      </w:r>
      <w:r>
        <w:rPr>
          <w:rFonts w:hint="eastAsia" w:ascii="华文中宋" w:hAnsi="华文中宋" w:eastAsia="华文中宋" w:cs="华文中宋"/>
          <w:szCs w:val="18"/>
          <w:lang w:val="en-US"/>
        </w:rPr>
        <w:fldChar w:fldCharType="separate"/>
      </w:r>
      <w:r>
        <w:rPr>
          <w:rFonts w:hint="eastAsia"/>
        </w:rPr>
        <w:t xml:space="preserve">4.8. </w:t>
      </w:r>
      <w:r>
        <w:t>安全防护需求分析</w:t>
      </w:r>
      <w:r>
        <w:tab/>
      </w:r>
      <w:r>
        <w:fldChar w:fldCharType="begin"/>
      </w:r>
      <w:r>
        <w:instrText xml:space="preserve"> PAGEREF _Toc10356 \h </w:instrText>
      </w:r>
      <w:r>
        <w:fldChar w:fldCharType="separate"/>
      </w:r>
      <w:r>
        <w:t>38</w:t>
      </w:r>
      <w:r>
        <w:fldChar w:fldCharType="end"/>
      </w:r>
      <w:r>
        <w:rPr>
          <w:rFonts w:hint="eastAsia" w:ascii="华文中宋" w:hAnsi="华文中宋" w:eastAsia="华文中宋" w:cs="华文中宋"/>
          <w:szCs w:val="18"/>
          <w:lang w:val="en-US"/>
        </w:rPr>
        <w:fldChar w:fldCharType="end"/>
      </w:r>
    </w:p>
    <w:p w14:paraId="697E8A28">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_Toc32605 </w:instrText>
      </w:r>
      <w:r>
        <w:rPr>
          <w:rFonts w:hint="eastAsia" w:ascii="华文中宋" w:hAnsi="华文中宋" w:eastAsia="华文中宋" w:cs="华文中宋"/>
          <w:szCs w:val="18"/>
          <w:lang w:val="en-US"/>
        </w:rPr>
        <w:fldChar w:fldCharType="separate"/>
      </w:r>
      <w:r>
        <w:rPr>
          <w:rFonts w:hint="eastAsia"/>
        </w:rPr>
        <w:t xml:space="preserve">4.8.1. </w:t>
      </w:r>
      <w:r>
        <w:t>等保安全合规需求分析</w:t>
      </w:r>
      <w:r>
        <w:tab/>
      </w:r>
      <w:r>
        <w:fldChar w:fldCharType="begin"/>
      </w:r>
      <w:r>
        <w:instrText xml:space="preserve"> PAGEREF _Toc32605 \h </w:instrText>
      </w:r>
      <w:r>
        <w:fldChar w:fldCharType="separate"/>
      </w:r>
      <w:r>
        <w:t>38</w:t>
      </w:r>
      <w:r>
        <w:fldChar w:fldCharType="end"/>
      </w:r>
      <w:r>
        <w:rPr>
          <w:rFonts w:hint="eastAsia" w:ascii="华文中宋" w:hAnsi="华文中宋" w:eastAsia="华文中宋" w:cs="华文中宋"/>
          <w:szCs w:val="18"/>
          <w:lang w:val="en-US"/>
        </w:rPr>
        <w:fldChar w:fldCharType="end"/>
      </w:r>
    </w:p>
    <w:p w14:paraId="229E7A22">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_Toc7791 </w:instrText>
      </w:r>
      <w:r>
        <w:rPr>
          <w:rFonts w:hint="eastAsia" w:ascii="华文中宋" w:hAnsi="华文中宋" w:eastAsia="华文中宋" w:cs="华文中宋"/>
          <w:szCs w:val="18"/>
          <w:lang w:val="en-US"/>
        </w:rPr>
        <w:fldChar w:fldCharType="separate"/>
      </w:r>
      <w:r>
        <w:rPr>
          <w:rFonts w:hint="eastAsia"/>
        </w:rPr>
        <w:t xml:space="preserve">4.8.2. </w:t>
      </w:r>
      <w:r>
        <w:t>云环境安全需求分析</w:t>
      </w:r>
      <w:r>
        <w:tab/>
      </w:r>
      <w:r>
        <w:fldChar w:fldCharType="begin"/>
      </w:r>
      <w:r>
        <w:instrText xml:space="preserve"> PAGEREF _Toc7791 \h </w:instrText>
      </w:r>
      <w:r>
        <w:fldChar w:fldCharType="separate"/>
      </w:r>
      <w:r>
        <w:t>38</w:t>
      </w:r>
      <w:r>
        <w:fldChar w:fldCharType="end"/>
      </w:r>
      <w:r>
        <w:rPr>
          <w:rFonts w:hint="eastAsia" w:ascii="华文中宋" w:hAnsi="华文中宋" w:eastAsia="华文中宋" w:cs="华文中宋"/>
          <w:szCs w:val="18"/>
          <w:lang w:val="en-US"/>
        </w:rPr>
        <w:fldChar w:fldCharType="end"/>
      </w:r>
    </w:p>
    <w:p w14:paraId="145EF923">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_Toc24902 </w:instrText>
      </w:r>
      <w:r>
        <w:rPr>
          <w:rFonts w:hint="eastAsia" w:ascii="华文中宋" w:hAnsi="华文中宋" w:eastAsia="华文中宋" w:cs="华文中宋"/>
          <w:szCs w:val="18"/>
          <w:lang w:val="en-US"/>
        </w:rPr>
        <w:fldChar w:fldCharType="separate"/>
      </w:r>
      <w:r>
        <w:rPr>
          <w:rFonts w:hint="eastAsia"/>
        </w:rPr>
        <w:t xml:space="preserve">4.8.3. </w:t>
      </w:r>
      <w:r>
        <w:t>应用安全防护需求分析</w:t>
      </w:r>
      <w:r>
        <w:tab/>
      </w:r>
      <w:r>
        <w:fldChar w:fldCharType="begin"/>
      </w:r>
      <w:r>
        <w:instrText xml:space="preserve"> PAGEREF _Toc24902 \h </w:instrText>
      </w:r>
      <w:r>
        <w:fldChar w:fldCharType="separate"/>
      </w:r>
      <w:r>
        <w:t>38</w:t>
      </w:r>
      <w:r>
        <w:fldChar w:fldCharType="end"/>
      </w:r>
      <w:r>
        <w:rPr>
          <w:rFonts w:hint="eastAsia" w:ascii="华文中宋" w:hAnsi="华文中宋" w:eastAsia="华文中宋" w:cs="华文中宋"/>
          <w:szCs w:val="18"/>
          <w:lang w:val="en-US"/>
        </w:rPr>
        <w:fldChar w:fldCharType="end"/>
      </w:r>
    </w:p>
    <w:p w14:paraId="1324470A">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_Toc22092 </w:instrText>
      </w:r>
      <w:r>
        <w:rPr>
          <w:rFonts w:hint="eastAsia" w:ascii="华文中宋" w:hAnsi="华文中宋" w:eastAsia="华文中宋" w:cs="华文中宋"/>
          <w:szCs w:val="18"/>
          <w:lang w:val="en-US"/>
        </w:rPr>
        <w:fldChar w:fldCharType="separate"/>
      </w:r>
      <w:r>
        <w:rPr>
          <w:rFonts w:hint="eastAsia"/>
        </w:rPr>
        <w:t xml:space="preserve">4.8.4. </w:t>
      </w:r>
      <w:r>
        <w:t>数据安全保护需求分析</w:t>
      </w:r>
      <w:r>
        <w:tab/>
      </w:r>
      <w:r>
        <w:fldChar w:fldCharType="begin"/>
      </w:r>
      <w:r>
        <w:instrText xml:space="preserve"> PAGEREF _Toc22092 \h </w:instrText>
      </w:r>
      <w:r>
        <w:fldChar w:fldCharType="separate"/>
      </w:r>
      <w:r>
        <w:t>38</w:t>
      </w:r>
      <w:r>
        <w:fldChar w:fldCharType="end"/>
      </w:r>
      <w:r>
        <w:rPr>
          <w:rFonts w:hint="eastAsia" w:ascii="华文中宋" w:hAnsi="华文中宋" w:eastAsia="华文中宋" w:cs="华文中宋"/>
          <w:szCs w:val="18"/>
          <w:lang w:val="en-US"/>
        </w:rPr>
        <w:fldChar w:fldCharType="end"/>
      </w:r>
    </w:p>
    <w:p w14:paraId="06A4078E">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_Toc9603 </w:instrText>
      </w:r>
      <w:r>
        <w:rPr>
          <w:rFonts w:hint="eastAsia" w:ascii="华文中宋" w:hAnsi="华文中宋" w:eastAsia="华文中宋" w:cs="华文中宋"/>
          <w:szCs w:val="18"/>
          <w:lang w:val="en-US"/>
        </w:rPr>
        <w:fldChar w:fldCharType="separate"/>
      </w:r>
      <w:r>
        <w:rPr>
          <w:rFonts w:hint="eastAsia"/>
        </w:rPr>
        <w:t xml:space="preserve">4.8.5. </w:t>
      </w:r>
      <w:r>
        <w:t>安全运维需求分析</w:t>
      </w:r>
      <w:r>
        <w:tab/>
      </w:r>
      <w:r>
        <w:fldChar w:fldCharType="begin"/>
      </w:r>
      <w:r>
        <w:instrText xml:space="preserve"> PAGEREF _Toc9603 \h </w:instrText>
      </w:r>
      <w:r>
        <w:fldChar w:fldCharType="separate"/>
      </w:r>
      <w:r>
        <w:t>39</w:t>
      </w:r>
      <w:r>
        <w:fldChar w:fldCharType="end"/>
      </w:r>
      <w:r>
        <w:rPr>
          <w:rFonts w:hint="eastAsia" w:ascii="华文中宋" w:hAnsi="华文中宋" w:eastAsia="华文中宋" w:cs="华文中宋"/>
          <w:szCs w:val="18"/>
          <w:lang w:val="en-US"/>
        </w:rPr>
        <w:fldChar w:fldCharType="end"/>
      </w:r>
    </w:p>
    <w:p w14:paraId="72E09406">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_Toc14387 </w:instrText>
      </w:r>
      <w:r>
        <w:rPr>
          <w:rFonts w:hint="eastAsia" w:ascii="华文中宋" w:hAnsi="华文中宋" w:eastAsia="华文中宋" w:cs="华文中宋"/>
          <w:szCs w:val="18"/>
          <w:lang w:val="en-US"/>
        </w:rPr>
        <w:fldChar w:fldCharType="separate"/>
      </w:r>
      <w:r>
        <w:rPr>
          <w:rFonts w:hint="eastAsia"/>
        </w:rPr>
        <w:t xml:space="preserve">4.8.6. </w:t>
      </w:r>
      <w:r>
        <w:t>安全管理需求分析</w:t>
      </w:r>
      <w:r>
        <w:tab/>
      </w:r>
      <w:r>
        <w:fldChar w:fldCharType="begin"/>
      </w:r>
      <w:r>
        <w:instrText xml:space="preserve"> PAGEREF _Toc14387 \h </w:instrText>
      </w:r>
      <w:r>
        <w:fldChar w:fldCharType="separate"/>
      </w:r>
      <w:r>
        <w:t>39</w:t>
      </w:r>
      <w:r>
        <w:fldChar w:fldCharType="end"/>
      </w:r>
      <w:r>
        <w:rPr>
          <w:rFonts w:hint="eastAsia" w:ascii="华文中宋" w:hAnsi="华文中宋" w:eastAsia="华文中宋" w:cs="华文中宋"/>
          <w:szCs w:val="18"/>
          <w:lang w:val="en-US"/>
        </w:rPr>
        <w:fldChar w:fldCharType="end"/>
      </w:r>
    </w:p>
    <w:p w14:paraId="724A89A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_Toc7573 </w:instrText>
      </w:r>
      <w:r>
        <w:rPr>
          <w:rFonts w:hint="eastAsia" w:ascii="华文中宋" w:hAnsi="华文中宋" w:eastAsia="华文中宋" w:cs="华文中宋"/>
          <w:szCs w:val="18"/>
          <w:lang w:val="en-US"/>
        </w:rPr>
        <w:fldChar w:fldCharType="separate"/>
      </w:r>
      <w:r>
        <w:rPr>
          <w:rFonts w:hint="eastAsia"/>
        </w:rPr>
        <w:t xml:space="preserve">4.9. </w:t>
      </w:r>
      <w:r>
        <w:t>密码应用需求分析</w:t>
      </w:r>
      <w:r>
        <w:tab/>
      </w:r>
      <w:r>
        <w:fldChar w:fldCharType="begin"/>
      </w:r>
      <w:r>
        <w:instrText xml:space="preserve"> PAGEREF _Toc7573 \h </w:instrText>
      </w:r>
      <w:r>
        <w:fldChar w:fldCharType="separate"/>
      </w:r>
      <w:r>
        <w:t>39</w:t>
      </w:r>
      <w:r>
        <w:fldChar w:fldCharType="end"/>
      </w:r>
      <w:r>
        <w:rPr>
          <w:rFonts w:hint="eastAsia" w:ascii="华文中宋" w:hAnsi="华文中宋" w:eastAsia="华文中宋" w:cs="华文中宋"/>
          <w:szCs w:val="18"/>
          <w:lang w:val="en-US"/>
        </w:rPr>
        <w:fldChar w:fldCharType="end"/>
      </w:r>
    </w:p>
    <w:p w14:paraId="428C5D3D">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_Toc31180 </w:instrText>
      </w:r>
      <w:r>
        <w:rPr>
          <w:rFonts w:hint="eastAsia" w:ascii="华文中宋" w:hAnsi="华文中宋" w:eastAsia="华文中宋" w:cs="华文中宋"/>
          <w:szCs w:val="18"/>
          <w:lang w:val="en-US"/>
        </w:rPr>
        <w:fldChar w:fldCharType="separate"/>
      </w:r>
      <w:r>
        <w:rPr>
          <w:rFonts w:hint="eastAsia"/>
          <w:lang w:val="en-US"/>
        </w:rPr>
        <w:t>第五章 项目总体建设方案</w:t>
      </w:r>
      <w:r>
        <w:tab/>
      </w:r>
      <w:r>
        <w:fldChar w:fldCharType="begin"/>
      </w:r>
      <w:r>
        <w:instrText xml:space="preserve"> PAGEREF _Toc31180 \h </w:instrText>
      </w:r>
      <w:r>
        <w:fldChar w:fldCharType="separate"/>
      </w:r>
      <w:r>
        <w:t>40</w:t>
      </w:r>
      <w:r>
        <w:fldChar w:fldCharType="end"/>
      </w:r>
      <w:r>
        <w:rPr>
          <w:rFonts w:hint="eastAsia" w:ascii="华文中宋" w:hAnsi="华文中宋" w:eastAsia="华文中宋" w:cs="华文中宋"/>
          <w:szCs w:val="18"/>
          <w:lang w:val="en-US"/>
        </w:rPr>
        <w:fldChar w:fldCharType="end"/>
      </w:r>
    </w:p>
    <w:p w14:paraId="1AC92BD5">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_Toc20995 </w:instrText>
      </w:r>
      <w:r>
        <w:rPr>
          <w:rFonts w:hint="eastAsia" w:ascii="华文中宋" w:hAnsi="华文中宋" w:eastAsia="华文中宋" w:cs="华文中宋"/>
          <w:szCs w:val="18"/>
          <w:lang w:val="en-US"/>
        </w:rPr>
        <w:fldChar w:fldCharType="separate"/>
      </w:r>
      <w:r>
        <w:rPr>
          <w:rFonts w:hint="eastAsia"/>
          <w:lang w:val="en-US"/>
        </w:rPr>
        <w:t>5.1. 总体设计原则</w:t>
      </w:r>
      <w:r>
        <w:tab/>
      </w:r>
      <w:r>
        <w:fldChar w:fldCharType="begin"/>
      </w:r>
      <w:r>
        <w:instrText xml:space="preserve"> PAGEREF _Toc20995 \h </w:instrText>
      </w:r>
      <w:r>
        <w:fldChar w:fldCharType="separate"/>
      </w:r>
      <w:r>
        <w:t>40</w:t>
      </w:r>
      <w:r>
        <w:fldChar w:fldCharType="end"/>
      </w:r>
      <w:r>
        <w:rPr>
          <w:rFonts w:hint="eastAsia" w:ascii="华文中宋" w:hAnsi="华文中宋" w:eastAsia="华文中宋" w:cs="华文中宋"/>
          <w:szCs w:val="18"/>
          <w:lang w:val="en-US"/>
        </w:rPr>
        <w:fldChar w:fldCharType="end"/>
      </w:r>
    </w:p>
    <w:p w14:paraId="49CF2A0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_Toc3319 </w:instrText>
      </w:r>
      <w:r>
        <w:rPr>
          <w:rFonts w:hint="eastAsia" w:ascii="华文中宋" w:hAnsi="华文中宋" w:eastAsia="华文中宋" w:cs="华文中宋"/>
          <w:szCs w:val="18"/>
          <w:lang w:val="en-US"/>
        </w:rPr>
        <w:fldChar w:fldCharType="separate"/>
      </w:r>
      <w:r>
        <w:rPr>
          <w:rFonts w:hint="eastAsia"/>
        </w:rPr>
        <w:t>5.1.1. 设计原则</w:t>
      </w:r>
      <w:r>
        <w:tab/>
      </w:r>
      <w:r>
        <w:fldChar w:fldCharType="begin"/>
      </w:r>
      <w:r>
        <w:instrText xml:space="preserve"> PAGEREF _Toc3319 \h </w:instrText>
      </w:r>
      <w:r>
        <w:fldChar w:fldCharType="separate"/>
      </w:r>
      <w:r>
        <w:t>40</w:t>
      </w:r>
      <w:r>
        <w:fldChar w:fldCharType="end"/>
      </w:r>
      <w:r>
        <w:rPr>
          <w:rFonts w:hint="eastAsia" w:ascii="华文中宋" w:hAnsi="华文中宋" w:eastAsia="华文中宋" w:cs="华文中宋"/>
          <w:szCs w:val="18"/>
          <w:lang w:val="en-US"/>
        </w:rPr>
        <w:fldChar w:fldCharType="end"/>
      </w:r>
    </w:p>
    <w:p w14:paraId="279ABA6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_Toc12992 </w:instrText>
      </w:r>
      <w:r>
        <w:rPr>
          <w:rFonts w:hint="eastAsia" w:ascii="华文中宋" w:hAnsi="华文中宋" w:eastAsia="华文中宋" w:cs="华文中宋"/>
          <w:szCs w:val="18"/>
          <w:lang w:val="en-US"/>
        </w:rPr>
        <w:fldChar w:fldCharType="separate"/>
      </w:r>
      <w:r>
        <w:rPr>
          <w:rFonts w:hint="eastAsia"/>
          <w:lang w:val="en-US"/>
        </w:rPr>
        <w:t xml:space="preserve">5.1.2. </w:t>
      </w:r>
      <w:r>
        <w:rPr>
          <w:rFonts w:hint="eastAsia"/>
        </w:rPr>
        <w:t>建设策略</w:t>
      </w:r>
      <w:r>
        <w:tab/>
      </w:r>
      <w:r>
        <w:fldChar w:fldCharType="begin"/>
      </w:r>
      <w:r>
        <w:instrText xml:space="preserve"> PAGEREF _Toc12992 \h </w:instrText>
      </w:r>
      <w:r>
        <w:fldChar w:fldCharType="separate"/>
      </w:r>
      <w:r>
        <w:t>41</w:t>
      </w:r>
      <w:r>
        <w:fldChar w:fldCharType="end"/>
      </w:r>
      <w:r>
        <w:rPr>
          <w:rFonts w:hint="eastAsia" w:ascii="华文中宋" w:hAnsi="华文中宋" w:eastAsia="华文中宋" w:cs="华文中宋"/>
          <w:szCs w:val="18"/>
          <w:lang w:val="en-US"/>
        </w:rPr>
        <w:fldChar w:fldCharType="end"/>
      </w:r>
    </w:p>
    <w:p w14:paraId="51A45511">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_Toc6441 </w:instrText>
      </w:r>
      <w:r>
        <w:rPr>
          <w:rFonts w:hint="eastAsia" w:ascii="华文中宋" w:hAnsi="华文中宋" w:eastAsia="华文中宋" w:cs="华文中宋"/>
          <w:szCs w:val="18"/>
          <w:lang w:val="en-US"/>
        </w:rPr>
        <w:fldChar w:fldCharType="separate"/>
      </w:r>
      <w:r>
        <w:rPr>
          <w:rFonts w:hint="eastAsia"/>
          <w:lang w:val="en-US"/>
        </w:rPr>
        <w:t>5.2. 总体建设目标</w:t>
      </w:r>
      <w:r>
        <w:tab/>
      </w:r>
      <w:r>
        <w:fldChar w:fldCharType="begin"/>
      </w:r>
      <w:r>
        <w:instrText xml:space="preserve"> PAGEREF _Toc6441 \h </w:instrText>
      </w:r>
      <w:r>
        <w:fldChar w:fldCharType="separate"/>
      </w:r>
      <w:r>
        <w:t>42</w:t>
      </w:r>
      <w:r>
        <w:fldChar w:fldCharType="end"/>
      </w:r>
      <w:r>
        <w:rPr>
          <w:rFonts w:hint="eastAsia" w:ascii="华文中宋" w:hAnsi="华文中宋" w:eastAsia="华文中宋" w:cs="华文中宋"/>
          <w:szCs w:val="18"/>
          <w:lang w:val="en-US"/>
        </w:rPr>
        <w:fldChar w:fldCharType="end"/>
      </w:r>
    </w:p>
    <w:p w14:paraId="707DE8EB">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_Toc2955 </w:instrText>
      </w:r>
      <w:r>
        <w:rPr>
          <w:rFonts w:hint="eastAsia" w:ascii="华文中宋" w:hAnsi="华文中宋" w:eastAsia="华文中宋" w:cs="华文中宋"/>
          <w:szCs w:val="18"/>
          <w:lang w:val="en-US"/>
        </w:rPr>
        <w:fldChar w:fldCharType="separate"/>
      </w:r>
      <w:r>
        <w:rPr>
          <w:rFonts w:hint="eastAsia"/>
          <w:lang w:val="en-US"/>
        </w:rPr>
        <w:t>5.3. 总体建设任务</w:t>
      </w:r>
      <w:r>
        <w:tab/>
      </w:r>
      <w:r>
        <w:fldChar w:fldCharType="begin"/>
      </w:r>
      <w:r>
        <w:instrText xml:space="preserve"> PAGEREF _Toc2955 \h </w:instrText>
      </w:r>
      <w:r>
        <w:fldChar w:fldCharType="separate"/>
      </w:r>
      <w:r>
        <w:t>43</w:t>
      </w:r>
      <w:r>
        <w:fldChar w:fldCharType="end"/>
      </w:r>
      <w:r>
        <w:rPr>
          <w:rFonts w:hint="eastAsia" w:ascii="华文中宋" w:hAnsi="华文中宋" w:eastAsia="华文中宋" w:cs="华文中宋"/>
          <w:szCs w:val="18"/>
          <w:lang w:val="en-US"/>
        </w:rPr>
        <w:fldChar w:fldCharType="end"/>
      </w:r>
    </w:p>
    <w:p w14:paraId="2265290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_Toc31935 </w:instrText>
      </w:r>
      <w:r>
        <w:rPr>
          <w:rFonts w:hint="eastAsia" w:ascii="华文中宋" w:hAnsi="华文中宋" w:eastAsia="华文中宋" w:cs="华文中宋"/>
          <w:szCs w:val="18"/>
          <w:lang w:val="en-US"/>
        </w:rPr>
        <w:fldChar w:fldCharType="separate"/>
      </w:r>
      <w:r>
        <w:rPr>
          <w:rFonts w:hint="eastAsia"/>
          <w:lang w:val="en-US"/>
        </w:rPr>
        <w:t>5.4. 总体框架设计</w:t>
      </w:r>
      <w:r>
        <w:tab/>
      </w:r>
      <w:r>
        <w:fldChar w:fldCharType="begin"/>
      </w:r>
      <w:r>
        <w:instrText xml:space="preserve"> PAGEREF _Toc31935 \h </w:instrText>
      </w:r>
      <w:r>
        <w:fldChar w:fldCharType="separate"/>
      </w:r>
      <w:r>
        <w:t>44</w:t>
      </w:r>
      <w:r>
        <w:fldChar w:fldCharType="end"/>
      </w:r>
      <w:r>
        <w:rPr>
          <w:rFonts w:hint="eastAsia" w:ascii="华文中宋" w:hAnsi="华文中宋" w:eastAsia="华文中宋" w:cs="华文中宋"/>
          <w:szCs w:val="18"/>
          <w:lang w:val="en-US"/>
        </w:rPr>
        <w:fldChar w:fldCharType="end"/>
      </w:r>
    </w:p>
    <w:p w14:paraId="566D11AE">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_Toc25733 </w:instrText>
      </w:r>
      <w:r>
        <w:rPr>
          <w:rFonts w:hint="eastAsia" w:ascii="华文中宋" w:hAnsi="华文中宋" w:eastAsia="华文中宋" w:cs="华文中宋"/>
          <w:szCs w:val="18"/>
          <w:lang w:val="en-US"/>
        </w:rPr>
        <w:fldChar w:fldCharType="separate"/>
      </w:r>
      <w:r>
        <w:rPr>
          <w:rFonts w:hint="eastAsia"/>
          <w:lang w:val="en-US"/>
        </w:rPr>
        <w:t>5.4.1. 系统架构</w:t>
      </w:r>
      <w:r>
        <w:tab/>
      </w:r>
      <w:r>
        <w:fldChar w:fldCharType="begin"/>
      </w:r>
      <w:r>
        <w:instrText xml:space="preserve"> PAGEREF _Toc25733 \h </w:instrText>
      </w:r>
      <w:r>
        <w:fldChar w:fldCharType="separate"/>
      </w:r>
      <w:r>
        <w:t>44</w:t>
      </w:r>
      <w:r>
        <w:fldChar w:fldCharType="end"/>
      </w:r>
      <w:r>
        <w:rPr>
          <w:rFonts w:hint="eastAsia" w:ascii="华文中宋" w:hAnsi="华文中宋" w:eastAsia="华文中宋" w:cs="华文中宋"/>
          <w:szCs w:val="18"/>
          <w:lang w:val="en-US"/>
        </w:rPr>
        <w:fldChar w:fldCharType="end"/>
      </w:r>
    </w:p>
    <w:p w14:paraId="7BED931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_Toc32193 </w:instrText>
      </w:r>
      <w:r>
        <w:rPr>
          <w:rFonts w:hint="eastAsia" w:ascii="华文中宋" w:hAnsi="华文中宋" w:eastAsia="华文中宋" w:cs="华文中宋"/>
          <w:szCs w:val="18"/>
          <w:lang w:val="en-US"/>
        </w:rPr>
        <w:fldChar w:fldCharType="separate"/>
      </w:r>
      <w:r>
        <w:rPr>
          <w:rFonts w:hint="eastAsia"/>
          <w:lang w:val="en-US"/>
        </w:rPr>
        <w:t>5.4.2. 网络架构</w:t>
      </w:r>
      <w:r>
        <w:tab/>
      </w:r>
      <w:r>
        <w:fldChar w:fldCharType="begin"/>
      </w:r>
      <w:r>
        <w:instrText xml:space="preserve"> PAGEREF _Toc32193 \h </w:instrText>
      </w:r>
      <w:r>
        <w:fldChar w:fldCharType="separate"/>
      </w:r>
      <w:r>
        <w:t>47</w:t>
      </w:r>
      <w:r>
        <w:fldChar w:fldCharType="end"/>
      </w:r>
      <w:r>
        <w:rPr>
          <w:rFonts w:hint="eastAsia" w:ascii="华文中宋" w:hAnsi="华文中宋" w:eastAsia="华文中宋" w:cs="华文中宋"/>
          <w:szCs w:val="18"/>
          <w:lang w:val="en-US"/>
        </w:rPr>
        <w:fldChar w:fldCharType="end"/>
      </w:r>
    </w:p>
    <w:p w14:paraId="762C9B9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_Toc30806 </w:instrText>
      </w:r>
      <w:r>
        <w:rPr>
          <w:rFonts w:hint="eastAsia" w:ascii="华文中宋" w:hAnsi="华文中宋" w:eastAsia="华文中宋" w:cs="华文中宋"/>
          <w:szCs w:val="18"/>
          <w:lang w:val="en-US"/>
        </w:rPr>
        <w:fldChar w:fldCharType="separate"/>
      </w:r>
      <w:r>
        <w:rPr>
          <w:rFonts w:hint="eastAsia"/>
          <w:lang w:val="en-US"/>
        </w:rPr>
        <w:t>5.4.3. 关键技术应用</w:t>
      </w:r>
      <w:r>
        <w:tab/>
      </w:r>
      <w:r>
        <w:fldChar w:fldCharType="begin"/>
      </w:r>
      <w:r>
        <w:instrText xml:space="preserve"> PAGEREF _Toc30806 \h </w:instrText>
      </w:r>
      <w:r>
        <w:fldChar w:fldCharType="separate"/>
      </w:r>
      <w:r>
        <w:t>49</w:t>
      </w:r>
      <w:r>
        <w:fldChar w:fldCharType="end"/>
      </w:r>
      <w:r>
        <w:rPr>
          <w:rFonts w:hint="eastAsia" w:ascii="华文中宋" w:hAnsi="华文中宋" w:eastAsia="华文中宋" w:cs="华文中宋"/>
          <w:szCs w:val="18"/>
          <w:lang w:val="en-US"/>
        </w:rPr>
        <w:fldChar w:fldCharType="end"/>
      </w:r>
    </w:p>
    <w:p w14:paraId="78979057">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_Toc19948 </w:instrText>
      </w:r>
      <w:r>
        <w:rPr>
          <w:rFonts w:hint="eastAsia" w:ascii="华文中宋" w:hAnsi="华文中宋" w:eastAsia="华文中宋" w:cs="华文中宋"/>
          <w:szCs w:val="18"/>
          <w:lang w:val="en-US"/>
        </w:rPr>
        <w:fldChar w:fldCharType="separate"/>
      </w:r>
      <w:r>
        <w:rPr>
          <w:rFonts w:hint="eastAsia"/>
          <w:lang w:val="en-US"/>
        </w:rPr>
        <w:t>第六章 项目建设方案</w:t>
      </w:r>
      <w:r>
        <w:tab/>
      </w:r>
      <w:r>
        <w:fldChar w:fldCharType="begin"/>
      </w:r>
      <w:r>
        <w:instrText xml:space="preserve"> PAGEREF _Toc19948 \h </w:instrText>
      </w:r>
      <w:r>
        <w:fldChar w:fldCharType="separate"/>
      </w:r>
      <w:r>
        <w:t>52</w:t>
      </w:r>
      <w:r>
        <w:fldChar w:fldCharType="end"/>
      </w:r>
      <w:r>
        <w:rPr>
          <w:rFonts w:hint="eastAsia" w:ascii="华文中宋" w:hAnsi="华文中宋" w:eastAsia="华文中宋" w:cs="华文中宋"/>
          <w:szCs w:val="18"/>
          <w:lang w:val="en-US"/>
        </w:rPr>
        <w:fldChar w:fldCharType="end"/>
      </w:r>
    </w:p>
    <w:p w14:paraId="520247F5">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_Toc29846 </w:instrText>
      </w:r>
      <w:r>
        <w:rPr>
          <w:rFonts w:hint="eastAsia" w:ascii="华文中宋" w:hAnsi="华文中宋" w:eastAsia="华文中宋" w:cs="华文中宋"/>
          <w:szCs w:val="18"/>
          <w:lang w:val="en-US"/>
        </w:rPr>
        <w:fldChar w:fldCharType="separate"/>
      </w:r>
      <w:r>
        <w:rPr>
          <w:rFonts w:hint="eastAsia"/>
          <w:lang w:val="en-US"/>
        </w:rPr>
        <w:t>6.1. 标准规范建设</w:t>
      </w:r>
      <w:r>
        <w:tab/>
      </w:r>
      <w:r>
        <w:fldChar w:fldCharType="begin"/>
      </w:r>
      <w:r>
        <w:instrText xml:space="preserve"> PAGEREF _Toc29846 \h </w:instrText>
      </w:r>
      <w:r>
        <w:fldChar w:fldCharType="separate"/>
      </w:r>
      <w:r>
        <w:t>52</w:t>
      </w:r>
      <w:r>
        <w:fldChar w:fldCharType="end"/>
      </w:r>
      <w:r>
        <w:rPr>
          <w:rFonts w:hint="eastAsia" w:ascii="华文中宋" w:hAnsi="华文中宋" w:eastAsia="华文中宋" w:cs="华文中宋"/>
          <w:szCs w:val="18"/>
          <w:lang w:val="en-US"/>
        </w:rPr>
        <w:fldChar w:fldCharType="end"/>
      </w:r>
    </w:p>
    <w:p w14:paraId="3B67776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_Toc25608 </w:instrText>
      </w:r>
      <w:r>
        <w:rPr>
          <w:rFonts w:hint="eastAsia" w:ascii="华文中宋" w:hAnsi="华文中宋" w:eastAsia="华文中宋" w:cs="华文中宋"/>
          <w:szCs w:val="18"/>
          <w:lang w:val="en-US"/>
        </w:rPr>
        <w:fldChar w:fldCharType="separate"/>
      </w:r>
      <w:r>
        <w:rPr>
          <w:rFonts w:hint="eastAsia"/>
          <w:lang w:val="en-US"/>
        </w:rPr>
        <w:t>6.1.1. 技术标准类</w:t>
      </w:r>
      <w:r>
        <w:tab/>
      </w:r>
      <w:r>
        <w:fldChar w:fldCharType="begin"/>
      </w:r>
      <w:r>
        <w:instrText xml:space="preserve"> PAGEREF _Toc25608 \h </w:instrText>
      </w:r>
      <w:r>
        <w:fldChar w:fldCharType="separate"/>
      </w:r>
      <w:r>
        <w:t>52</w:t>
      </w:r>
      <w:r>
        <w:fldChar w:fldCharType="end"/>
      </w:r>
      <w:r>
        <w:rPr>
          <w:rFonts w:hint="eastAsia" w:ascii="华文中宋" w:hAnsi="华文中宋" w:eastAsia="华文中宋" w:cs="华文中宋"/>
          <w:szCs w:val="18"/>
          <w:lang w:val="en-US"/>
        </w:rPr>
        <w:fldChar w:fldCharType="end"/>
      </w:r>
    </w:p>
    <w:p w14:paraId="3A6FEA43">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_Toc7760 </w:instrText>
      </w:r>
      <w:r>
        <w:rPr>
          <w:rFonts w:hint="eastAsia" w:ascii="华文中宋" w:hAnsi="华文中宋" w:eastAsia="华文中宋" w:cs="华文中宋"/>
          <w:szCs w:val="18"/>
          <w:lang w:val="en-US"/>
        </w:rPr>
        <w:fldChar w:fldCharType="separate"/>
      </w:r>
      <w:r>
        <w:rPr>
          <w:rFonts w:hint="eastAsia"/>
          <w:lang w:val="en-US"/>
        </w:rPr>
        <w:t>6.1.2. 数据标准类</w:t>
      </w:r>
      <w:r>
        <w:tab/>
      </w:r>
      <w:r>
        <w:fldChar w:fldCharType="begin"/>
      </w:r>
      <w:r>
        <w:instrText xml:space="preserve"> PAGEREF _Toc7760 \h </w:instrText>
      </w:r>
      <w:r>
        <w:fldChar w:fldCharType="separate"/>
      </w:r>
      <w:r>
        <w:t>52</w:t>
      </w:r>
      <w:r>
        <w:fldChar w:fldCharType="end"/>
      </w:r>
      <w:r>
        <w:rPr>
          <w:rFonts w:hint="eastAsia" w:ascii="华文中宋" w:hAnsi="华文中宋" w:eastAsia="华文中宋" w:cs="华文中宋"/>
          <w:szCs w:val="18"/>
          <w:lang w:val="en-US"/>
        </w:rPr>
        <w:fldChar w:fldCharType="end"/>
      </w:r>
    </w:p>
    <w:p w14:paraId="5D4E3B2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_Toc31944 </w:instrText>
      </w:r>
      <w:r>
        <w:rPr>
          <w:rFonts w:hint="eastAsia" w:ascii="华文中宋" w:hAnsi="华文中宋" w:eastAsia="华文中宋" w:cs="华文中宋"/>
          <w:szCs w:val="18"/>
          <w:lang w:val="en-US"/>
        </w:rPr>
        <w:fldChar w:fldCharType="separate"/>
      </w:r>
      <w:r>
        <w:rPr>
          <w:rFonts w:hint="eastAsia"/>
          <w:lang w:val="en-US"/>
        </w:rPr>
        <w:t>6.1.3. 信息安全类</w:t>
      </w:r>
      <w:r>
        <w:tab/>
      </w:r>
      <w:r>
        <w:fldChar w:fldCharType="begin"/>
      </w:r>
      <w:r>
        <w:instrText xml:space="preserve"> PAGEREF _Toc31944 \h </w:instrText>
      </w:r>
      <w:r>
        <w:fldChar w:fldCharType="separate"/>
      </w:r>
      <w:r>
        <w:t>53</w:t>
      </w:r>
      <w:r>
        <w:fldChar w:fldCharType="end"/>
      </w:r>
      <w:r>
        <w:rPr>
          <w:rFonts w:hint="eastAsia" w:ascii="华文中宋" w:hAnsi="华文中宋" w:eastAsia="华文中宋" w:cs="华文中宋"/>
          <w:szCs w:val="18"/>
          <w:lang w:val="en-US"/>
        </w:rPr>
        <w:fldChar w:fldCharType="end"/>
      </w:r>
    </w:p>
    <w:p w14:paraId="3FEA7CE6">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_Toc993 </w:instrText>
      </w:r>
      <w:r>
        <w:rPr>
          <w:rFonts w:hint="eastAsia" w:ascii="华文中宋" w:hAnsi="华文中宋" w:eastAsia="华文中宋" w:cs="华文中宋"/>
          <w:szCs w:val="18"/>
          <w:lang w:val="en-US"/>
        </w:rPr>
        <w:fldChar w:fldCharType="separate"/>
      </w:r>
      <w:r>
        <w:rPr>
          <w:rFonts w:hint="eastAsia"/>
          <w:lang w:val="en-US"/>
        </w:rPr>
        <w:t>6.2. 应用系统、基础设施及应用支撑建设</w:t>
      </w:r>
      <w:r>
        <w:tab/>
      </w:r>
      <w:r>
        <w:fldChar w:fldCharType="begin"/>
      </w:r>
      <w:r>
        <w:instrText xml:space="preserve"> PAGEREF _Toc993 \h </w:instrText>
      </w:r>
      <w:r>
        <w:fldChar w:fldCharType="separate"/>
      </w:r>
      <w:r>
        <w:t>53</w:t>
      </w:r>
      <w:r>
        <w:fldChar w:fldCharType="end"/>
      </w:r>
      <w:r>
        <w:rPr>
          <w:rFonts w:hint="eastAsia" w:ascii="华文中宋" w:hAnsi="华文中宋" w:eastAsia="华文中宋" w:cs="华文中宋"/>
          <w:szCs w:val="18"/>
          <w:lang w:val="en-US"/>
        </w:rPr>
        <w:fldChar w:fldCharType="end"/>
      </w:r>
    </w:p>
    <w:p w14:paraId="2CDA843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_Toc26566 </w:instrText>
      </w:r>
      <w:r>
        <w:rPr>
          <w:rFonts w:hint="eastAsia" w:ascii="华文中宋" w:hAnsi="华文中宋" w:eastAsia="华文中宋" w:cs="华文中宋"/>
          <w:szCs w:val="18"/>
          <w:lang w:val="en-US"/>
        </w:rPr>
        <w:fldChar w:fldCharType="separate"/>
      </w:r>
      <w:r>
        <w:rPr>
          <w:rFonts w:hint="eastAsia"/>
        </w:rPr>
        <w:t>6.2.1. 预警监测系统建设</w:t>
      </w:r>
      <w:r>
        <w:tab/>
      </w:r>
      <w:r>
        <w:fldChar w:fldCharType="begin"/>
      </w:r>
      <w:r>
        <w:instrText xml:space="preserve"> PAGEREF _Toc26566 \h </w:instrText>
      </w:r>
      <w:r>
        <w:fldChar w:fldCharType="separate"/>
      </w:r>
      <w:r>
        <w:t>53</w:t>
      </w:r>
      <w:r>
        <w:fldChar w:fldCharType="end"/>
      </w:r>
      <w:r>
        <w:rPr>
          <w:rFonts w:hint="eastAsia" w:ascii="华文中宋" w:hAnsi="华文中宋" w:eastAsia="华文中宋" w:cs="华文中宋"/>
          <w:szCs w:val="18"/>
          <w:lang w:val="en-US"/>
        </w:rPr>
        <w:fldChar w:fldCharType="end"/>
      </w:r>
    </w:p>
    <w:p w14:paraId="32E72DB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_Toc28283 </w:instrText>
      </w:r>
      <w:r>
        <w:rPr>
          <w:rFonts w:hint="eastAsia" w:ascii="华文中宋" w:hAnsi="华文中宋" w:eastAsia="华文中宋" w:cs="华文中宋"/>
          <w:szCs w:val="18"/>
          <w:lang w:val="en-US"/>
        </w:rPr>
        <w:fldChar w:fldCharType="separate"/>
      </w:r>
      <w:r>
        <w:rPr>
          <w:rFonts w:hint="eastAsia"/>
        </w:rPr>
        <w:t>6.2.2. 森林防火通信系统建设</w:t>
      </w:r>
      <w:r>
        <w:tab/>
      </w:r>
      <w:r>
        <w:fldChar w:fldCharType="begin"/>
      </w:r>
      <w:r>
        <w:instrText xml:space="preserve"> PAGEREF _Toc28283 \h </w:instrText>
      </w:r>
      <w:r>
        <w:fldChar w:fldCharType="separate"/>
      </w:r>
      <w:r>
        <w:t>82</w:t>
      </w:r>
      <w:r>
        <w:fldChar w:fldCharType="end"/>
      </w:r>
      <w:r>
        <w:rPr>
          <w:rFonts w:hint="eastAsia" w:ascii="华文中宋" w:hAnsi="华文中宋" w:eastAsia="华文中宋" w:cs="华文中宋"/>
          <w:szCs w:val="18"/>
          <w:lang w:val="en-US"/>
        </w:rPr>
        <w:fldChar w:fldCharType="end"/>
      </w:r>
    </w:p>
    <w:p w14:paraId="6728A6E6">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_Toc10592 </w:instrText>
      </w:r>
      <w:r>
        <w:rPr>
          <w:rFonts w:hint="eastAsia" w:ascii="华文中宋" w:hAnsi="华文中宋" w:eastAsia="华文中宋" w:cs="华文中宋"/>
          <w:szCs w:val="18"/>
          <w:lang w:val="en-US"/>
        </w:rPr>
        <w:fldChar w:fldCharType="separate"/>
      </w:r>
      <w:r>
        <w:rPr>
          <w:rFonts w:hint="eastAsia"/>
        </w:rPr>
        <w:t>6.2.3. 森林消防队伍能力建设</w:t>
      </w:r>
      <w:r>
        <w:tab/>
      </w:r>
      <w:r>
        <w:fldChar w:fldCharType="begin"/>
      </w:r>
      <w:r>
        <w:instrText xml:space="preserve"> PAGEREF _Toc10592 \h </w:instrText>
      </w:r>
      <w:r>
        <w:fldChar w:fldCharType="separate"/>
      </w:r>
      <w:r>
        <w:t>90</w:t>
      </w:r>
      <w:r>
        <w:fldChar w:fldCharType="end"/>
      </w:r>
      <w:r>
        <w:rPr>
          <w:rFonts w:hint="eastAsia" w:ascii="华文中宋" w:hAnsi="华文中宋" w:eastAsia="华文中宋" w:cs="华文中宋"/>
          <w:szCs w:val="18"/>
          <w:lang w:val="en-US"/>
        </w:rPr>
        <w:fldChar w:fldCharType="end"/>
      </w:r>
    </w:p>
    <w:p w14:paraId="38FBECB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_Toc6420 </w:instrText>
      </w:r>
      <w:r>
        <w:rPr>
          <w:rFonts w:hint="eastAsia" w:ascii="华文中宋" w:hAnsi="华文中宋" w:eastAsia="华文中宋" w:cs="华文中宋"/>
          <w:szCs w:val="18"/>
          <w:lang w:val="en-US"/>
        </w:rPr>
        <w:fldChar w:fldCharType="separate"/>
      </w:r>
      <w:r>
        <w:rPr>
          <w:rFonts w:hint="eastAsia"/>
        </w:rPr>
        <w:t>6.3. 信息资源规划和数据库建设方案</w:t>
      </w:r>
      <w:r>
        <w:tab/>
      </w:r>
      <w:r>
        <w:fldChar w:fldCharType="begin"/>
      </w:r>
      <w:r>
        <w:instrText xml:space="preserve"> PAGEREF _Toc6420 \h </w:instrText>
      </w:r>
      <w:r>
        <w:fldChar w:fldCharType="separate"/>
      </w:r>
      <w:r>
        <w:t>93</w:t>
      </w:r>
      <w:r>
        <w:fldChar w:fldCharType="end"/>
      </w:r>
      <w:r>
        <w:rPr>
          <w:rFonts w:hint="eastAsia" w:ascii="华文中宋" w:hAnsi="华文中宋" w:eastAsia="华文中宋" w:cs="华文中宋"/>
          <w:szCs w:val="18"/>
          <w:lang w:val="en-US"/>
        </w:rPr>
        <w:fldChar w:fldCharType="end"/>
      </w:r>
    </w:p>
    <w:p w14:paraId="54A71C2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_Toc128 </w:instrText>
      </w:r>
      <w:r>
        <w:rPr>
          <w:rFonts w:hint="eastAsia" w:ascii="华文中宋" w:hAnsi="华文中宋" w:eastAsia="华文中宋" w:cs="华文中宋"/>
          <w:szCs w:val="18"/>
          <w:lang w:val="en-US"/>
        </w:rPr>
        <w:fldChar w:fldCharType="separate"/>
      </w:r>
      <w:r>
        <w:rPr>
          <w:rFonts w:hint="eastAsia"/>
        </w:rPr>
        <w:t>6.3.1. 数据标准</w:t>
      </w:r>
      <w:r>
        <w:tab/>
      </w:r>
      <w:r>
        <w:fldChar w:fldCharType="begin"/>
      </w:r>
      <w:r>
        <w:instrText xml:space="preserve"> PAGEREF _Toc128 \h </w:instrText>
      </w:r>
      <w:r>
        <w:fldChar w:fldCharType="separate"/>
      </w:r>
      <w:r>
        <w:t>93</w:t>
      </w:r>
      <w:r>
        <w:fldChar w:fldCharType="end"/>
      </w:r>
      <w:r>
        <w:rPr>
          <w:rFonts w:hint="eastAsia" w:ascii="华文中宋" w:hAnsi="华文中宋" w:eastAsia="华文中宋" w:cs="华文中宋"/>
          <w:szCs w:val="18"/>
          <w:lang w:val="en-US"/>
        </w:rPr>
        <w:fldChar w:fldCharType="end"/>
      </w:r>
    </w:p>
    <w:p w14:paraId="7377259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_Toc8081 </w:instrText>
      </w:r>
      <w:r>
        <w:rPr>
          <w:rFonts w:hint="eastAsia" w:ascii="华文中宋" w:hAnsi="华文中宋" w:eastAsia="华文中宋" w:cs="华文中宋"/>
          <w:szCs w:val="18"/>
          <w:lang w:val="en-US"/>
        </w:rPr>
        <w:fldChar w:fldCharType="separate"/>
      </w:r>
      <w:r>
        <w:rPr>
          <w:rFonts w:hint="eastAsia"/>
        </w:rPr>
        <w:t>6.3.2. 项目信息资源采集需求</w:t>
      </w:r>
      <w:r>
        <w:tab/>
      </w:r>
      <w:r>
        <w:fldChar w:fldCharType="begin"/>
      </w:r>
      <w:r>
        <w:instrText xml:space="preserve"> PAGEREF _Toc8081 \h </w:instrText>
      </w:r>
      <w:r>
        <w:fldChar w:fldCharType="separate"/>
      </w:r>
      <w:r>
        <w:t>97</w:t>
      </w:r>
      <w:r>
        <w:fldChar w:fldCharType="end"/>
      </w:r>
      <w:r>
        <w:rPr>
          <w:rFonts w:hint="eastAsia" w:ascii="华文中宋" w:hAnsi="华文中宋" w:eastAsia="华文中宋" w:cs="华文中宋"/>
          <w:szCs w:val="18"/>
          <w:lang w:val="en-US"/>
        </w:rPr>
        <w:fldChar w:fldCharType="end"/>
      </w:r>
    </w:p>
    <w:p w14:paraId="7A7369C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_Toc6034 </w:instrText>
      </w:r>
      <w:r>
        <w:rPr>
          <w:rFonts w:hint="eastAsia" w:ascii="华文中宋" w:hAnsi="华文中宋" w:eastAsia="华文中宋" w:cs="华文中宋"/>
          <w:szCs w:val="18"/>
          <w:lang w:val="en-US"/>
        </w:rPr>
        <w:fldChar w:fldCharType="separate"/>
      </w:r>
      <w:r>
        <w:rPr>
          <w:rFonts w:hint="eastAsia"/>
          <w:lang w:val="en-US"/>
        </w:rPr>
        <w:t xml:space="preserve">6.3.3. </w:t>
      </w:r>
      <w:r>
        <w:rPr>
          <w:rFonts w:hint="eastAsia"/>
        </w:rPr>
        <w:t>项目形成</w:t>
      </w:r>
      <w:r>
        <w:rPr>
          <w:rFonts w:hint="eastAsia"/>
          <w:lang w:val="en-US"/>
        </w:rPr>
        <w:t>共享</w:t>
      </w:r>
      <w:r>
        <w:rPr>
          <w:rFonts w:hint="eastAsia"/>
        </w:rPr>
        <w:t>信息资源</w:t>
      </w:r>
      <w:r>
        <w:rPr>
          <w:rFonts w:hint="eastAsia"/>
          <w:lang w:val="en-US"/>
        </w:rPr>
        <w:t>接口规范</w:t>
      </w:r>
      <w:r>
        <w:tab/>
      </w:r>
      <w:r>
        <w:fldChar w:fldCharType="begin"/>
      </w:r>
      <w:r>
        <w:instrText xml:space="preserve"> PAGEREF _Toc6034 \h </w:instrText>
      </w:r>
      <w:r>
        <w:fldChar w:fldCharType="separate"/>
      </w:r>
      <w:r>
        <w:t>99</w:t>
      </w:r>
      <w:r>
        <w:fldChar w:fldCharType="end"/>
      </w:r>
      <w:r>
        <w:rPr>
          <w:rFonts w:hint="eastAsia" w:ascii="华文中宋" w:hAnsi="华文中宋" w:eastAsia="华文中宋" w:cs="华文中宋"/>
          <w:szCs w:val="18"/>
          <w:lang w:val="en-US"/>
        </w:rPr>
        <w:fldChar w:fldCharType="end"/>
      </w:r>
    </w:p>
    <w:p w14:paraId="66B3F07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_Toc28769 </w:instrText>
      </w:r>
      <w:r>
        <w:rPr>
          <w:rFonts w:hint="eastAsia" w:ascii="华文中宋" w:hAnsi="华文中宋" w:eastAsia="华文中宋" w:cs="华文中宋"/>
          <w:szCs w:val="18"/>
          <w:lang w:val="en-US"/>
        </w:rPr>
        <w:fldChar w:fldCharType="separate"/>
      </w:r>
      <w:r>
        <w:rPr>
          <w:rFonts w:hint="eastAsia"/>
        </w:rPr>
        <w:t xml:space="preserve">6.3.4. </w:t>
      </w:r>
      <w:r>
        <w:rPr>
          <w:rFonts w:hint="eastAsia"/>
          <w:lang w:val="en-US"/>
        </w:rPr>
        <w:t>不</w:t>
      </w:r>
      <w:r>
        <w:rPr>
          <w:rFonts w:hint="eastAsia"/>
        </w:rPr>
        <w:t>共享信息资源及其依据</w:t>
      </w:r>
      <w:r>
        <w:tab/>
      </w:r>
      <w:r>
        <w:fldChar w:fldCharType="begin"/>
      </w:r>
      <w:r>
        <w:instrText xml:space="preserve"> PAGEREF _Toc28769 \h </w:instrText>
      </w:r>
      <w:r>
        <w:fldChar w:fldCharType="separate"/>
      </w:r>
      <w:r>
        <w:t>100</w:t>
      </w:r>
      <w:r>
        <w:fldChar w:fldCharType="end"/>
      </w:r>
      <w:r>
        <w:rPr>
          <w:rFonts w:hint="eastAsia" w:ascii="华文中宋" w:hAnsi="华文中宋" w:eastAsia="华文中宋" w:cs="华文中宋"/>
          <w:szCs w:val="18"/>
          <w:lang w:val="en-US"/>
        </w:rPr>
        <w:fldChar w:fldCharType="end"/>
      </w:r>
    </w:p>
    <w:p w14:paraId="20F40522">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_Toc8755 </w:instrText>
      </w:r>
      <w:r>
        <w:rPr>
          <w:rFonts w:hint="eastAsia" w:ascii="华文中宋" w:hAnsi="华文中宋" w:eastAsia="华文中宋" w:cs="华文中宋"/>
          <w:szCs w:val="18"/>
          <w:lang w:val="en-US"/>
        </w:rPr>
        <w:fldChar w:fldCharType="separate"/>
      </w:r>
      <w:r>
        <w:rPr>
          <w:rFonts w:hint="eastAsia"/>
        </w:rPr>
        <w:t>6.4. 网络安全体系建设方案</w:t>
      </w:r>
      <w:r>
        <w:tab/>
      </w:r>
      <w:r>
        <w:fldChar w:fldCharType="begin"/>
      </w:r>
      <w:r>
        <w:instrText xml:space="preserve"> PAGEREF _Toc8755 \h </w:instrText>
      </w:r>
      <w:r>
        <w:fldChar w:fldCharType="separate"/>
      </w:r>
      <w:r>
        <w:t>100</w:t>
      </w:r>
      <w:r>
        <w:fldChar w:fldCharType="end"/>
      </w:r>
      <w:r>
        <w:rPr>
          <w:rFonts w:hint="eastAsia" w:ascii="华文中宋" w:hAnsi="华文中宋" w:eastAsia="华文中宋" w:cs="华文中宋"/>
          <w:szCs w:val="18"/>
          <w:lang w:val="en-US"/>
        </w:rPr>
        <w:fldChar w:fldCharType="end"/>
      </w:r>
    </w:p>
    <w:p w14:paraId="43A1CE8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_Toc7147 </w:instrText>
      </w:r>
      <w:r>
        <w:rPr>
          <w:rFonts w:hint="eastAsia" w:ascii="华文中宋" w:hAnsi="华文中宋" w:eastAsia="华文中宋" w:cs="华文中宋"/>
          <w:szCs w:val="18"/>
          <w:lang w:val="en-US"/>
        </w:rPr>
        <w:fldChar w:fldCharType="separate"/>
      </w:r>
      <w:r>
        <w:rPr>
          <w:rFonts w:hint="eastAsia"/>
        </w:rPr>
        <w:t>6.4.1. 网络安全运营支撑</w:t>
      </w:r>
      <w:r>
        <w:tab/>
      </w:r>
      <w:r>
        <w:fldChar w:fldCharType="begin"/>
      </w:r>
      <w:r>
        <w:instrText xml:space="preserve"> PAGEREF _Toc7147 \h </w:instrText>
      </w:r>
      <w:r>
        <w:fldChar w:fldCharType="separate"/>
      </w:r>
      <w:r>
        <w:t>101</w:t>
      </w:r>
      <w:r>
        <w:fldChar w:fldCharType="end"/>
      </w:r>
      <w:r>
        <w:rPr>
          <w:rFonts w:hint="eastAsia" w:ascii="华文中宋" w:hAnsi="华文中宋" w:eastAsia="华文中宋" w:cs="华文中宋"/>
          <w:szCs w:val="18"/>
          <w:lang w:val="en-US"/>
        </w:rPr>
        <w:fldChar w:fldCharType="end"/>
      </w:r>
    </w:p>
    <w:p w14:paraId="57397E93">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_Toc30054 </w:instrText>
      </w:r>
      <w:r>
        <w:rPr>
          <w:rFonts w:hint="eastAsia" w:ascii="华文中宋" w:hAnsi="华文中宋" w:eastAsia="华文中宋" w:cs="华文中宋"/>
          <w:szCs w:val="18"/>
          <w:lang w:val="en-US"/>
        </w:rPr>
        <w:fldChar w:fldCharType="separate"/>
      </w:r>
      <w:r>
        <w:rPr>
          <w:rFonts w:hint="eastAsia"/>
        </w:rPr>
        <w:t>6.4.2. 安全体系建设依据</w:t>
      </w:r>
      <w:r>
        <w:tab/>
      </w:r>
      <w:r>
        <w:fldChar w:fldCharType="begin"/>
      </w:r>
      <w:r>
        <w:instrText xml:space="preserve"> PAGEREF _Toc30054 \h </w:instrText>
      </w:r>
      <w:r>
        <w:fldChar w:fldCharType="separate"/>
      </w:r>
      <w:r>
        <w:t>102</w:t>
      </w:r>
      <w:r>
        <w:fldChar w:fldCharType="end"/>
      </w:r>
      <w:r>
        <w:rPr>
          <w:rFonts w:hint="eastAsia" w:ascii="华文中宋" w:hAnsi="华文中宋" w:eastAsia="华文中宋" w:cs="华文中宋"/>
          <w:szCs w:val="18"/>
          <w:lang w:val="en-US"/>
        </w:rPr>
        <w:fldChar w:fldCharType="end"/>
      </w:r>
    </w:p>
    <w:p w14:paraId="44D2911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_Toc30847 </w:instrText>
      </w:r>
      <w:r>
        <w:rPr>
          <w:rFonts w:hint="eastAsia" w:ascii="华文中宋" w:hAnsi="华文中宋" w:eastAsia="华文中宋" w:cs="华文中宋"/>
          <w:szCs w:val="18"/>
          <w:lang w:val="en-US"/>
        </w:rPr>
        <w:fldChar w:fldCharType="separate"/>
      </w:r>
      <w:r>
        <w:rPr>
          <w:rFonts w:hint="eastAsia"/>
        </w:rPr>
        <w:t>6.4.3. 安全体系建设目标</w:t>
      </w:r>
      <w:r>
        <w:tab/>
      </w:r>
      <w:r>
        <w:fldChar w:fldCharType="begin"/>
      </w:r>
      <w:r>
        <w:instrText xml:space="preserve"> PAGEREF _Toc30847 \h </w:instrText>
      </w:r>
      <w:r>
        <w:fldChar w:fldCharType="separate"/>
      </w:r>
      <w:r>
        <w:t>102</w:t>
      </w:r>
      <w:r>
        <w:fldChar w:fldCharType="end"/>
      </w:r>
      <w:r>
        <w:rPr>
          <w:rFonts w:hint="eastAsia" w:ascii="华文中宋" w:hAnsi="华文中宋" w:eastAsia="华文中宋" w:cs="华文中宋"/>
          <w:szCs w:val="18"/>
          <w:lang w:val="en-US"/>
        </w:rPr>
        <w:fldChar w:fldCharType="end"/>
      </w:r>
    </w:p>
    <w:p w14:paraId="3646D4A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_Toc22089 </w:instrText>
      </w:r>
      <w:r>
        <w:rPr>
          <w:rFonts w:hint="eastAsia" w:ascii="华文中宋" w:hAnsi="华文中宋" w:eastAsia="华文中宋" w:cs="华文中宋"/>
          <w:szCs w:val="18"/>
          <w:lang w:val="en-US"/>
        </w:rPr>
        <w:fldChar w:fldCharType="separate"/>
      </w:r>
      <w:r>
        <w:rPr>
          <w:rFonts w:hint="eastAsia"/>
        </w:rPr>
        <w:t>6.4.4. 安全体系架构</w:t>
      </w:r>
      <w:r>
        <w:tab/>
      </w:r>
      <w:r>
        <w:fldChar w:fldCharType="begin"/>
      </w:r>
      <w:r>
        <w:instrText xml:space="preserve"> PAGEREF _Toc22089 \h </w:instrText>
      </w:r>
      <w:r>
        <w:fldChar w:fldCharType="separate"/>
      </w:r>
      <w:r>
        <w:t>103</w:t>
      </w:r>
      <w:r>
        <w:fldChar w:fldCharType="end"/>
      </w:r>
      <w:r>
        <w:rPr>
          <w:rFonts w:hint="eastAsia" w:ascii="华文中宋" w:hAnsi="华文中宋" w:eastAsia="华文中宋" w:cs="华文中宋"/>
          <w:szCs w:val="18"/>
          <w:lang w:val="en-US"/>
        </w:rPr>
        <w:fldChar w:fldCharType="end"/>
      </w:r>
    </w:p>
    <w:p w14:paraId="5D7EAA5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_Toc1697 </w:instrText>
      </w:r>
      <w:r>
        <w:rPr>
          <w:rFonts w:hint="eastAsia" w:ascii="华文中宋" w:hAnsi="华文中宋" w:eastAsia="华文中宋" w:cs="华文中宋"/>
          <w:szCs w:val="18"/>
          <w:lang w:val="en-US"/>
        </w:rPr>
        <w:fldChar w:fldCharType="separate"/>
      </w:r>
      <w:r>
        <w:rPr>
          <w:rFonts w:hint="eastAsia"/>
        </w:rPr>
        <w:t>6.4.5. 各层级安全建设内容</w:t>
      </w:r>
      <w:r>
        <w:tab/>
      </w:r>
      <w:r>
        <w:fldChar w:fldCharType="begin"/>
      </w:r>
      <w:r>
        <w:instrText xml:space="preserve"> PAGEREF _Toc1697 \h </w:instrText>
      </w:r>
      <w:r>
        <w:fldChar w:fldCharType="separate"/>
      </w:r>
      <w:r>
        <w:t>105</w:t>
      </w:r>
      <w:r>
        <w:fldChar w:fldCharType="end"/>
      </w:r>
      <w:r>
        <w:rPr>
          <w:rFonts w:hint="eastAsia" w:ascii="华文中宋" w:hAnsi="华文中宋" w:eastAsia="华文中宋" w:cs="华文中宋"/>
          <w:szCs w:val="18"/>
          <w:lang w:val="en-US"/>
        </w:rPr>
        <w:fldChar w:fldCharType="end"/>
      </w:r>
    </w:p>
    <w:p w14:paraId="768D848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_Toc23458 </w:instrText>
      </w:r>
      <w:r>
        <w:rPr>
          <w:rFonts w:hint="eastAsia" w:ascii="华文中宋" w:hAnsi="华文中宋" w:eastAsia="华文中宋" w:cs="华文中宋"/>
          <w:szCs w:val="18"/>
          <w:lang w:val="en-US"/>
        </w:rPr>
        <w:fldChar w:fldCharType="separate"/>
      </w:r>
      <w:r>
        <w:rPr>
          <w:rFonts w:hint="eastAsia"/>
        </w:rPr>
        <w:t>6.4.6. 安全管理机制</w:t>
      </w:r>
      <w:r>
        <w:tab/>
      </w:r>
      <w:r>
        <w:fldChar w:fldCharType="begin"/>
      </w:r>
      <w:r>
        <w:instrText xml:space="preserve"> PAGEREF _Toc23458 \h </w:instrText>
      </w:r>
      <w:r>
        <w:fldChar w:fldCharType="separate"/>
      </w:r>
      <w:r>
        <w:t>107</w:t>
      </w:r>
      <w:r>
        <w:fldChar w:fldCharType="end"/>
      </w:r>
      <w:r>
        <w:rPr>
          <w:rFonts w:hint="eastAsia" w:ascii="华文中宋" w:hAnsi="华文中宋" w:eastAsia="华文中宋" w:cs="华文中宋"/>
          <w:szCs w:val="18"/>
          <w:lang w:val="en-US"/>
        </w:rPr>
        <w:fldChar w:fldCharType="end"/>
      </w:r>
    </w:p>
    <w:p w14:paraId="1A6199D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_Toc8433 </w:instrText>
      </w:r>
      <w:r>
        <w:rPr>
          <w:rFonts w:hint="eastAsia" w:ascii="华文中宋" w:hAnsi="华文中宋" w:eastAsia="华文中宋" w:cs="华文中宋"/>
          <w:szCs w:val="18"/>
          <w:lang w:val="en-US"/>
        </w:rPr>
        <w:fldChar w:fldCharType="separate"/>
      </w:r>
      <w:r>
        <w:rPr>
          <w:rFonts w:hint="eastAsia"/>
        </w:rPr>
        <w:t>6.4.7. 安全合规要求</w:t>
      </w:r>
      <w:r>
        <w:tab/>
      </w:r>
      <w:r>
        <w:fldChar w:fldCharType="begin"/>
      </w:r>
      <w:r>
        <w:instrText xml:space="preserve"> PAGEREF _Toc8433 \h </w:instrText>
      </w:r>
      <w:r>
        <w:fldChar w:fldCharType="separate"/>
      </w:r>
      <w:r>
        <w:t>108</w:t>
      </w:r>
      <w:r>
        <w:fldChar w:fldCharType="end"/>
      </w:r>
      <w:r>
        <w:rPr>
          <w:rFonts w:hint="eastAsia" w:ascii="华文中宋" w:hAnsi="华文中宋" w:eastAsia="华文中宋" w:cs="华文中宋"/>
          <w:szCs w:val="18"/>
          <w:lang w:val="en-US"/>
        </w:rPr>
        <w:fldChar w:fldCharType="end"/>
      </w:r>
    </w:p>
    <w:p w14:paraId="01EE5F58">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_Toc24773 </w:instrText>
      </w:r>
      <w:r>
        <w:rPr>
          <w:rFonts w:hint="eastAsia" w:ascii="华文中宋" w:hAnsi="华文中宋" w:eastAsia="华文中宋" w:cs="华文中宋"/>
          <w:szCs w:val="18"/>
          <w:lang w:val="en-US"/>
        </w:rPr>
        <w:fldChar w:fldCharType="separate"/>
      </w:r>
      <w:r>
        <w:rPr>
          <w:rFonts w:hint="eastAsia"/>
        </w:rPr>
        <w:t>6.4.8. 代码开发安全</w:t>
      </w:r>
      <w:r>
        <w:tab/>
      </w:r>
      <w:r>
        <w:fldChar w:fldCharType="begin"/>
      </w:r>
      <w:r>
        <w:instrText xml:space="preserve"> PAGEREF _Toc24773 \h </w:instrText>
      </w:r>
      <w:r>
        <w:fldChar w:fldCharType="separate"/>
      </w:r>
      <w:r>
        <w:t>108</w:t>
      </w:r>
      <w:r>
        <w:fldChar w:fldCharType="end"/>
      </w:r>
      <w:r>
        <w:rPr>
          <w:rFonts w:hint="eastAsia" w:ascii="华文中宋" w:hAnsi="华文中宋" w:eastAsia="华文中宋" w:cs="华文中宋"/>
          <w:szCs w:val="18"/>
          <w:lang w:val="en-US"/>
        </w:rPr>
        <w:fldChar w:fldCharType="end"/>
      </w:r>
    </w:p>
    <w:p w14:paraId="0827DE3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_Toc7155 </w:instrText>
      </w:r>
      <w:r>
        <w:rPr>
          <w:rFonts w:hint="eastAsia" w:ascii="华文中宋" w:hAnsi="华文中宋" w:eastAsia="华文中宋" w:cs="华文中宋"/>
          <w:szCs w:val="18"/>
          <w:lang w:val="en-US"/>
        </w:rPr>
        <w:fldChar w:fldCharType="separate"/>
      </w:r>
      <w:r>
        <w:rPr>
          <w:rFonts w:hint="eastAsia"/>
        </w:rPr>
        <w:t>6.4.9. 安全管理体系</w:t>
      </w:r>
      <w:r>
        <w:tab/>
      </w:r>
      <w:r>
        <w:fldChar w:fldCharType="begin"/>
      </w:r>
      <w:r>
        <w:instrText xml:space="preserve"> PAGEREF _Toc7155 \h </w:instrText>
      </w:r>
      <w:r>
        <w:fldChar w:fldCharType="separate"/>
      </w:r>
      <w:r>
        <w:t>110</w:t>
      </w:r>
      <w:r>
        <w:fldChar w:fldCharType="end"/>
      </w:r>
      <w:r>
        <w:rPr>
          <w:rFonts w:hint="eastAsia" w:ascii="华文中宋" w:hAnsi="华文中宋" w:eastAsia="华文中宋" w:cs="华文中宋"/>
          <w:szCs w:val="18"/>
          <w:lang w:val="en-US"/>
        </w:rPr>
        <w:fldChar w:fldCharType="end"/>
      </w:r>
    </w:p>
    <w:p w14:paraId="4B35F788">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_Toc15512 </w:instrText>
      </w:r>
      <w:r>
        <w:rPr>
          <w:rFonts w:hint="eastAsia" w:ascii="华文中宋" w:hAnsi="华文中宋" w:eastAsia="华文中宋" w:cs="华文中宋"/>
          <w:szCs w:val="18"/>
          <w:lang w:val="en-US"/>
        </w:rPr>
        <w:fldChar w:fldCharType="separate"/>
      </w:r>
      <w:r>
        <w:rPr>
          <w:rFonts w:hint="eastAsia"/>
        </w:rPr>
        <w:t>6.4.10. 安全保障机制</w:t>
      </w:r>
      <w:r>
        <w:tab/>
      </w:r>
      <w:r>
        <w:fldChar w:fldCharType="begin"/>
      </w:r>
      <w:r>
        <w:instrText xml:space="preserve"> PAGEREF _Toc15512 \h </w:instrText>
      </w:r>
      <w:r>
        <w:fldChar w:fldCharType="separate"/>
      </w:r>
      <w:r>
        <w:t>110</w:t>
      </w:r>
      <w:r>
        <w:fldChar w:fldCharType="end"/>
      </w:r>
      <w:r>
        <w:rPr>
          <w:rFonts w:hint="eastAsia" w:ascii="华文中宋" w:hAnsi="华文中宋" w:eastAsia="华文中宋" w:cs="华文中宋"/>
          <w:szCs w:val="18"/>
          <w:lang w:val="en-US"/>
        </w:rPr>
        <w:fldChar w:fldCharType="end"/>
      </w:r>
    </w:p>
    <w:p w14:paraId="658A7901">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_Toc23946 </w:instrText>
      </w:r>
      <w:r>
        <w:rPr>
          <w:rFonts w:hint="eastAsia" w:ascii="华文中宋" w:hAnsi="华文中宋" w:eastAsia="华文中宋" w:cs="华文中宋"/>
          <w:szCs w:val="18"/>
          <w:lang w:val="en-US"/>
        </w:rPr>
        <w:fldChar w:fldCharType="separate"/>
      </w:r>
      <w:r>
        <w:rPr>
          <w:rFonts w:hint="eastAsia"/>
          <w:lang w:val="en-US"/>
        </w:rPr>
        <w:t>6.5. 备份系统建设方案</w:t>
      </w:r>
      <w:r>
        <w:tab/>
      </w:r>
      <w:r>
        <w:fldChar w:fldCharType="begin"/>
      </w:r>
      <w:r>
        <w:instrText xml:space="preserve"> PAGEREF _Toc23946 \h </w:instrText>
      </w:r>
      <w:r>
        <w:fldChar w:fldCharType="separate"/>
      </w:r>
      <w:r>
        <w:t>111</w:t>
      </w:r>
      <w:r>
        <w:fldChar w:fldCharType="end"/>
      </w:r>
      <w:r>
        <w:rPr>
          <w:rFonts w:hint="eastAsia" w:ascii="华文中宋" w:hAnsi="华文中宋" w:eastAsia="华文中宋" w:cs="华文中宋"/>
          <w:szCs w:val="18"/>
          <w:lang w:val="en-US"/>
        </w:rPr>
        <w:fldChar w:fldCharType="end"/>
      </w:r>
    </w:p>
    <w:p w14:paraId="088F05B8">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_Toc17857 </w:instrText>
      </w:r>
      <w:r>
        <w:rPr>
          <w:rFonts w:hint="eastAsia" w:ascii="华文中宋" w:hAnsi="华文中宋" w:eastAsia="华文中宋" w:cs="华文中宋"/>
          <w:szCs w:val="18"/>
          <w:lang w:val="en-US"/>
        </w:rPr>
        <w:fldChar w:fldCharType="separate"/>
      </w:r>
      <w:r>
        <w:rPr>
          <w:rFonts w:hint="eastAsia"/>
          <w:lang w:val="en-US"/>
        </w:rPr>
        <w:t>6.5.1. 数据存储机制</w:t>
      </w:r>
      <w:r>
        <w:tab/>
      </w:r>
      <w:r>
        <w:fldChar w:fldCharType="begin"/>
      </w:r>
      <w:r>
        <w:instrText xml:space="preserve"> PAGEREF _Toc17857 \h </w:instrText>
      </w:r>
      <w:r>
        <w:fldChar w:fldCharType="separate"/>
      </w:r>
      <w:r>
        <w:t>111</w:t>
      </w:r>
      <w:r>
        <w:fldChar w:fldCharType="end"/>
      </w:r>
      <w:r>
        <w:rPr>
          <w:rFonts w:hint="eastAsia" w:ascii="华文中宋" w:hAnsi="华文中宋" w:eastAsia="华文中宋" w:cs="华文中宋"/>
          <w:szCs w:val="18"/>
          <w:lang w:val="en-US"/>
        </w:rPr>
        <w:fldChar w:fldCharType="end"/>
      </w:r>
    </w:p>
    <w:p w14:paraId="6A0F723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_Toc28904 </w:instrText>
      </w:r>
      <w:r>
        <w:rPr>
          <w:rFonts w:hint="eastAsia" w:ascii="华文中宋" w:hAnsi="华文中宋" w:eastAsia="华文中宋" w:cs="华文中宋"/>
          <w:szCs w:val="18"/>
          <w:lang w:val="en-US"/>
        </w:rPr>
        <w:fldChar w:fldCharType="separate"/>
      </w:r>
      <w:r>
        <w:rPr>
          <w:rFonts w:hint="eastAsia"/>
          <w:lang w:val="en-US"/>
        </w:rPr>
        <w:t>6.5.2. 业务应用备份</w:t>
      </w:r>
      <w:r>
        <w:tab/>
      </w:r>
      <w:r>
        <w:fldChar w:fldCharType="begin"/>
      </w:r>
      <w:r>
        <w:instrText xml:space="preserve"> PAGEREF _Toc28904 \h </w:instrText>
      </w:r>
      <w:r>
        <w:fldChar w:fldCharType="separate"/>
      </w:r>
      <w:r>
        <w:t>111</w:t>
      </w:r>
      <w:r>
        <w:fldChar w:fldCharType="end"/>
      </w:r>
      <w:r>
        <w:rPr>
          <w:rFonts w:hint="eastAsia" w:ascii="华文中宋" w:hAnsi="华文中宋" w:eastAsia="华文中宋" w:cs="华文中宋"/>
          <w:szCs w:val="18"/>
          <w:lang w:val="en-US"/>
        </w:rPr>
        <w:fldChar w:fldCharType="end"/>
      </w:r>
    </w:p>
    <w:p w14:paraId="11B023AE">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_Toc13635 </w:instrText>
      </w:r>
      <w:r>
        <w:rPr>
          <w:rFonts w:hint="eastAsia" w:ascii="华文中宋" w:hAnsi="华文中宋" w:eastAsia="华文中宋" w:cs="华文中宋"/>
          <w:szCs w:val="18"/>
          <w:lang w:val="en-US"/>
        </w:rPr>
        <w:fldChar w:fldCharType="separate"/>
      </w:r>
      <w:r>
        <w:rPr>
          <w:rFonts w:hint="eastAsia"/>
          <w:lang w:val="en-US"/>
        </w:rPr>
        <w:t>6.5.3. 网络备份</w:t>
      </w:r>
      <w:r>
        <w:tab/>
      </w:r>
      <w:r>
        <w:fldChar w:fldCharType="begin"/>
      </w:r>
      <w:r>
        <w:instrText xml:space="preserve"> PAGEREF _Toc13635 \h </w:instrText>
      </w:r>
      <w:r>
        <w:fldChar w:fldCharType="separate"/>
      </w:r>
      <w:r>
        <w:t>112</w:t>
      </w:r>
      <w:r>
        <w:fldChar w:fldCharType="end"/>
      </w:r>
      <w:r>
        <w:rPr>
          <w:rFonts w:hint="eastAsia" w:ascii="华文中宋" w:hAnsi="华文中宋" w:eastAsia="华文中宋" w:cs="华文中宋"/>
          <w:szCs w:val="18"/>
          <w:lang w:val="en-US"/>
        </w:rPr>
        <w:fldChar w:fldCharType="end"/>
      </w:r>
    </w:p>
    <w:p w14:paraId="3BDA53A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_Toc817 </w:instrText>
      </w:r>
      <w:r>
        <w:rPr>
          <w:rFonts w:hint="eastAsia" w:ascii="华文中宋" w:hAnsi="华文中宋" w:eastAsia="华文中宋" w:cs="华文中宋"/>
          <w:szCs w:val="18"/>
          <w:lang w:val="en-US"/>
        </w:rPr>
        <w:fldChar w:fldCharType="separate"/>
      </w:r>
      <w:r>
        <w:rPr>
          <w:rFonts w:hint="eastAsia"/>
          <w:lang w:val="en-US"/>
        </w:rPr>
        <w:t>6.5.4. 环境备份</w:t>
      </w:r>
      <w:r>
        <w:tab/>
      </w:r>
      <w:r>
        <w:fldChar w:fldCharType="begin"/>
      </w:r>
      <w:r>
        <w:instrText xml:space="preserve"> PAGEREF _Toc817 \h </w:instrText>
      </w:r>
      <w:r>
        <w:fldChar w:fldCharType="separate"/>
      </w:r>
      <w:r>
        <w:t>112</w:t>
      </w:r>
      <w:r>
        <w:fldChar w:fldCharType="end"/>
      </w:r>
      <w:r>
        <w:rPr>
          <w:rFonts w:hint="eastAsia" w:ascii="华文中宋" w:hAnsi="华文中宋" w:eastAsia="华文中宋" w:cs="华文中宋"/>
          <w:szCs w:val="18"/>
          <w:lang w:val="en-US"/>
        </w:rPr>
        <w:fldChar w:fldCharType="end"/>
      </w:r>
    </w:p>
    <w:p w14:paraId="2E95D3E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_Toc17178 </w:instrText>
      </w:r>
      <w:r>
        <w:rPr>
          <w:rFonts w:hint="eastAsia" w:ascii="华文中宋" w:hAnsi="华文中宋" w:eastAsia="华文中宋" w:cs="华文中宋"/>
          <w:szCs w:val="18"/>
          <w:lang w:val="en-US"/>
        </w:rPr>
        <w:fldChar w:fldCharType="separate"/>
      </w:r>
      <w:r>
        <w:rPr>
          <w:rFonts w:hint="eastAsia"/>
        </w:rPr>
        <w:t>6.6. 密码应用测评方案</w:t>
      </w:r>
      <w:r>
        <w:tab/>
      </w:r>
      <w:r>
        <w:fldChar w:fldCharType="begin"/>
      </w:r>
      <w:r>
        <w:instrText xml:space="preserve"> PAGEREF _Toc17178 \h </w:instrText>
      </w:r>
      <w:r>
        <w:fldChar w:fldCharType="separate"/>
      </w:r>
      <w:r>
        <w:t>113</w:t>
      </w:r>
      <w:r>
        <w:fldChar w:fldCharType="end"/>
      </w:r>
      <w:r>
        <w:rPr>
          <w:rFonts w:hint="eastAsia" w:ascii="华文中宋" w:hAnsi="华文中宋" w:eastAsia="华文中宋" w:cs="华文中宋"/>
          <w:szCs w:val="18"/>
          <w:lang w:val="en-US"/>
        </w:rPr>
        <w:fldChar w:fldCharType="end"/>
      </w:r>
    </w:p>
    <w:p w14:paraId="5B58BF5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_Toc22068 </w:instrText>
      </w:r>
      <w:r>
        <w:rPr>
          <w:rFonts w:hint="eastAsia" w:ascii="华文中宋" w:hAnsi="华文中宋" w:eastAsia="华文中宋" w:cs="华文中宋"/>
          <w:szCs w:val="18"/>
          <w:lang w:val="en-US"/>
        </w:rPr>
        <w:fldChar w:fldCharType="separate"/>
      </w:r>
      <w:r>
        <w:rPr>
          <w:rFonts w:hint="eastAsia"/>
        </w:rPr>
        <w:t>6.6.1. 系统现状分析</w:t>
      </w:r>
      <w:r>
        <w:tab/>
      </w:r>
      <w:r>
        <w:fldChar w:fldCharType="begin"/>
      </w:r>
      <w:r>
        <w:instrText xml:space="preserve"> PAGEREF _Toc22068 \h </w:instrText>
      </w:r>
      <w:r>
        <w:fldChar w:fldCharType="separate"/>
      </w:r>
      <w:r>
        <w:t>113</w:t>
      </w:r>
      <w:r>
        <w:fldChar w:fldCharType="end"/>
      </w:r>
      <w:r>
        <w:rPr>
          <w:rFonts w:hint="eastAsia" w:ascii="华文中宋" w:hAnsi="华文中宋" w:eastAsia="华文中宋" w:cs="华文中宋"/>
          <w:szCs w:val="18"/>
          <w:lang w:val="en-US"/>
        </w:rPr>
        <w:fldChar w:fldCharType="end"/>
      </w:r>
    </w:p>
    <w:p w14:paraId="33B1AF7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_Toc29842 </w:instrText>
      </w:r>
      <w:r>
        <w:rPr>
          <w:rFonts w:hint="eastAsia" w:ascii="华文中宋" w:hAnsi="华文中宋" w:eastAsia="华文中宋" w:cs="华文中宋"/>
          <w:szCs w:val="18"/>
          <w:lang w:val="en-US"/>
        </w:rPr>
        <w:fldChar w:fldCharType="separate"/>
      </w:r>
      <w:r>
        <w:rPr>
          <w:rFonts w:hint="eastAsia"/>
        </w:rPr>
        <w:t>6.6.2. 安全风险及控制需求</w:t>
      </w:r>
      <w:r>
        <w:tab/>
      </w:r>
      <w:r>
        <w:fldChar w:fldCharType="begin"/>
      </w:r>
      <w:r>
        <w:instrText xml:space="preserve"> PAGEREF _Toc29842 \h </w:instrText>
      </w:r>
      <w:r>
        <w:fldChar w:fldCharType="separate"/>
      </w:r>
      <w:r>
        <w:t>113</w:t>
      </w:r>
      <w:r>
        <w:fldChar w:fldCharType="end"/>
      </w:r>
      <w:r>
        <w:rPr>
          <w:rFonts w:hint="eastAsia" w:ascii="华文中宋" w:hAnsi="华文中宋" w:eastAsia="华文中宋" w:cs="华文中宋"/>
          <w:szCs w:val="18"/>
          <w:lang w:val="en-US"/>
        </w:rPr>
        <w:fldChar w:fldCharType="end"/>
      </w:r>
    </w:p>
    <w:p w14:paraId="6D0C2B3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_Toc25058 </w:instrText>
      </w:r>
      <w:r>
        <w:rPr>
          <w:rFonts w:hint="eastAsia" w:ascii="华文中宋" w:hAnsi="华文中宋" w:eastAsia="华文中宋" w:cs="华文中宋"/>
          <w:szCs w:val="18"/>
          <w:lang w:val="en-US"/>
        </w:rPr>
        <w:fldChar w:fldCharType="separate"/>
      </w:r>
      <w:r>
        <w:rPr>
          <w:rFonts w:hint="eastAsia"/>
        </w:rPr>
        <w:t>6.6.3. 密码应用需求</w:t>
      </w:r>
      <w:r>
        <w:tab/>
      </w:r>
      <w:r>
        <w:fldChar w:fldCharType="begin"/>
      </w:r>
      <w:r>
        <w:instrText xml:space="preserve"> PAGEREF _Toc25058 \h </w:instrText>
      </w:r>
      <w:r>
        <w:fldChar w:fldCharType="separate"/>
      </w:r>
      <w:r>
        <w:t>116</w:t>
      </w:r>
      <w:r>
        <w:fldChar w:fldCharType="end"/>
      </w:r>
      <w:r>
        <w:rPr>
          <w:rFonts w:hint="eastAsia" w:ascii="华文中宋" w:hAnsi="华文中宋" w:eastAsia="华文中宋" w:cs="华文中宋"/>
          <w:szCs w:val="18"/>
          <w:lang w:val="en-US"/>
        </w:rPr>
        <w:fldChar w:fldCharType="end"/>
      </w:r>
    </w:p>
    <w:p w14:paraId="2E28FD08">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_Toc4714 </w:instrText>
      </w:r>
      <w:r>
        <w:rPr>
          <w:rFonts w:hint="eastAsia" w:ascii="华文中宋" w:hAnsi="华文中宋" w:eastAsia="华文中宋" w:cs="华文中宋"/>
          <w:szCs w:val="18"/>
          <w:lang w:val="en-US"/>
        </w:rPr>
        <w:fldChar w:fldCharType="separate"/>
      </w:r>
      <w:r>
        <w:rPr>
          <w:rFonts w:hint="eastAsia"/>
        </w:rPr>
        <w:t>6.6.4. 总体方案设计</w:t>
      </w:r>
      <w:r>
        <w:tab/>
      </w:r>
      <w:r>
        <w:fldChar w:fldCharType="begin"/>
      </w:r>
      <w:r>
        <w:instrText xml:space="preserve"> PAGEREF _Toc4714 \h </w:instrText>
      </w:r>
      <w:r>
        <w:fldChar w:fldCharType="separate"/>
      </w:r>
      <w:r>
        <w:t>117</w:t>
      </w:r>
      <w:r>
        <w:fldChar w:fldCharType="end"/>
      </w:r>
      <w:r>
        <w:rPr>
          <w:rFonts w:hint="eastAsia" w:ascii="华文中宋" w:hAnsi="华文中宋" w:eastAsia="华文中宋" w:cs="华文中宋"/>
          <w:szCs w:val="18"/>
          <w:lang w:val="en-US"/>
        </w:rPr>
        <w:fldChar w:fldCharType="end"/>
      </w:r>
    </w:p>
    <w:p w14:paraId="468C46CA">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_Toc25183 </w:instrText>
      </w:r>
      <w:r>
        <w:rPr>
          <w:rFonts w:hint="eastAsia" w:ascii="华文中宋" w:hAnsi="华文中宋" w:eastAsia="华文中宋" w:cs="华文中宋"/>
          <w:szCs w:val="18"/>
          <w:lang w:val="en-US"/>
        </w:rPr>
        <w:fldChar w:fldCharType="separate"/>
      </w:r>
      <w:r>
        <w:rPr>
          <w:rFonts w:hint="eastAsia"/>
        </w:rPr>
        <w:t>6.6.5. 管理体系设计与运维体系设计</w:t>
      </w:r>
      <w:r>
        <w:tab/>
      </w:r>
      <w:r>
        <w:fldChar w:fldCharType="begin"/>
      </w:r>
      <w:r>
        <w:instrText xml:space="preserve"> PAGEREF _Toc25183 \h </w:instrText>
      </w:r>
      <w:r>
        <w:fldChar w:fldCharType="separate"/>
      </w:r>
      <w:r>
        <w:t>120</w:t>
      </w:r>
      <w:r>
        <w:fldChar w:fldCharType="end"/>
      </w:r>
      <w:r>
        <w:rPr>
          <w:rFonts w:hint="eastAsia" w:ascii="华文中宋" w:hAnsi="华文中宋" w:eastAsia="华文中宋" w:cs="华文中宋"/>
          <w:szCs w:val="18"/>
          <w:lang w:val="en-US"/>
        </w:rPr>
        <w:fldChar w:fldCharType="end"/>
      </w:r>
    </w:p>
    <w:p w14:paraId="61882F72">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_Toc11524 </w:instrText>
      </w:r>
      <w:r>
        <w:rPr>
          <w:rFonts w:hint="eastAsia" w:ascii="华文中宋" w:hAnsi="华文中宋" w:eastAsia="华文中宋" w:cs="华文中宋"/>
          <w:szCs w:val="18"/>
          <w:lang w:val="en-US"/>
        </w:rPr>
        <w:fldChar w:fldCharType="separate"/>
      </w:r>
      <w:r>
        <w:rPr>
          <w:rFonts w:hint="eastAsia"/>
        </w:rPr>
        <w:t>6.6.6. 安全与合规性分析</w:t>
      </w:r>
      <w:r>
        <w:tab/>
      </w:r>
      <w:r>
        <w:fldChar w:fldCharType="begin"/>
      </w:r>
      <w:r>
        <w:instrText xml:space="preserve"> PAGEREF _Toc11524 \h </w:instrText>
      </w:r>
      <w:r>
        <w:fldChar w:fldCharType="separate"/>
      </w:r>
      <w:r>
        <w:t>122</w:t>
      </w:r>
      <w:r>
        <w:fldChar w:fldCharType="end"/>
      </w:r>
      <w:r>
        <w:rPr>
          <w:rFonts w:hint="eastAsia" w:ascii="华文中宋" w:hAnsi="华文中宋" w:eastAsia="华文中宋" w:cs="华文中宋"/>
          <w:szCs w:val="18"/>
          <w:lang w:val="en-US"/>
        </w:rPr>
        <w:fldChar w:fldCharType="end"/>
      </w:r>
    </w:p>
    <w:p w14:paraId="70F537F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_Toc16373 </w:instrText>
      </w:r>
      <w:r>
        <w:rPr>
          <w:rFonts w:hint="eastAsia" w:ascii="华文中宋" w:hAnsi="华文中宋" w:eastAsia="华文中宋" w:cs="华文中宋"/>
          <w:szCs w:val="18"/>
          <w:lang w:val="en-US"/>
        </w:rPr>
        <w:fldChar w:fldCharType="separate"/>
      </w:r>
      <w:r>
        <w:rPr>
          <w:rFonts w:hint="eastAsia"/>
        </w:rPr>
        <w:t>6.6.7. 密码产品和服务应用情况</w:t>
      </w:r>
      <w:r>
        <w:tab/>
      </w:r>
      <w:r>
        <w:fldChar w:fldCharType="begin"/>
      </w:r>
      <w:r>
        <w:instrText xml:space="preserve"> PAGEREF _Toc16373 \h </w:instrText>
      </w:r>
      <w:r>
        <w:fldChar w:fldCharType="separate"/>
      </w:r>
      <w:r>
        <w:t>125</w:t>
      </w:r>
      <w:r>
        <w:fldChar w:fldCharType="end"/>
      </w:r>
      <w:r>
        <w:rPr>
          <w:rFonts w:hint="eastAsia" w:ascii="华文中宋" w:hAnsi="华文中宋" w:eastAsia="华文中宋" w:cs="华文中宋"/>
          <w:szCs w:val="18"/>
          <w:lang w:val="en-US"/>
        </w:rPr>
        <w:fldChar w:fldCharType="end"/>
      </w:r>
    </w:p>
    <w:p w14:paraId="2E1DC29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_Toc1846 </w:instrText>
      </w:r>
      <w:r>
        <w:rPr>
          <w:rFonts w:hint="eastAsia" w:ascii="华文中宋" w:hAnsi="华文中宋" w:eastAsia="华文中宋" w:cs="华文中宋"/>
          <w:szCs w:val="18"/>
          <w:lang w:val="en-US"/>
        </w:rPr>
        <w:fldChar w:fldCharType="separate"/>
      </w:r>
      <w:r>
        <w:rPr>
          <w:rFonts w:hint="eastAsia"/>
        </w:rPr>
        <w:t>6.7. 运行维护体系方案</w:t>
      </w:r>
      <w:r>
        <w:tab/>
      </w:r>
      <w:r>
        <w:fldChar w:fldCharType="begin"/>
      </w:r>
      <w:r>
        <w:instrText xml:space="preserve"> PAGEREF _Toc1846 \h </w:instrText>
      </w:r>
      <w:r>
        <w:fldChar w:fldCharType="separate"/>
      </w:r>
      <w:r>
        <w:t>126</w:t>
      </w:r>
      <w:r>
        <w:fldChar w:fldCharType="end"/>
      </w:r>
      <w:r>
        <w:rPr>
          <w:rFonts w:hint="eastAsia" w:ascii="华文中宋" w:hAnsi="华文中宋" w:eastAsia="华文中宋" w:cs="华文中宋"/>
          <w:szCs w:val="18"/>
          <w:lang w:val="en-US"/>
        </w:rPr>
        <w:fldChar w:fldCharType="end"/>
      </w:r>
    </w:p>
    <w:p w14:paraId="061DC5E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_Toc26404 </w:instrText>
      </w:r>
      <w:r>
        <w:rPr>
          <w:rFonts w:hint="eastAsia" w:ascii="华文中宋" w:hAnsi="华文中宋" w:eastAsia="华文中宋" w:cs="华文中宋"/>
          <w:szCs w:val="18"/>
          <w:lang w:val="en-US"/>
        </w:rPr>
        <w:fldChar w:fldCharType="separate"/>
      </w:r>
      <w:r>
        <w:rPr>
          <w:rFonts w:hint="eastAsia"/>
          <w:lang w:val="en-US"/>
        </w:rPr>
        <w:t>6.7.1. 运维服务理念</w:t>
      </w:r>
      <w:r>
        <w:tab/>
      </w:r>
      <w:r>
        <w:fldChar w:fldCharType="begin"/>
      </w:r>
      <w:r>
        <w:instrText xml:space="preserve"> PAGEREF _Toc26404 \h </w:instrText>
      </w:r>
      <w:r>
        <w:fldChar w:fldCharType="separate"/>
      </w:r>
      <w:r>
        <w:t>128</w:t>
      </w:r>
      <w:r>
        <w:fldChar w:fldCharType="end"/>
      </w:r>
      <w:r>
        <w:rPr>
          <w:rFonts w:hint="eastAsia" w:ascii="华文中宋" w:hAnsi="华文中宋" w:eastAsia="华文中宋" w:cs="华文中宋"/>
          <w:szCs w:val="18"/>
          <w:lang w:val="en-US"/>
        </w:rPr>
        <w:fldChar w:fldCharType="end"/>
      </w:r>
    </w:p>
    <w:p w14:paraId="13E5939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_Toc17525 </w:instrText>
      </w:r>
      <w:r>
        <w:rPr>
          <w:rFonts w:hint="eastAsia" w:ascii="华文中宋" w:hAnsi="华文中宋" w:eastAsia="华文中宋" w:cs="华文中宋"/>
          <w:szCs w:val="18"/>
          <w:lang w:val="en-US"/>
        </w:rPr>
        <w:fldChar w:fldCharType="separate"/>
      </w:r>
      <w:r>
        <w:rPr>
          <w:rFonts w:hint="eastAsia"/>
          <w:lang w:val="en-US"/>
        </w:rPr>
        <w:t>6.7.2. 运维内容</w:t>
      </w:r>
      <w:r>
        <w:tab/>
      </w:r>
      <w:r>
        <w:fldChar w:fldCharType="begin"/>
      </w:r>
      <w:r>
        <w:instrText xml:space="preserve"> PAGEREF _Toc17525 \h </w:instrText>
      </w:r>
      <w:r>
        <w:fldChar w:fldCharType="separate"/>
      </w:r>
      <w:r>
        <w:t>129</w:t>
      </w:r>
      <w:r>
        <w:fldChar w:fldCharType="end"/>
      </w:r>
      <w:r>
        <w:rPr>
          <w:rFonts w:hint="eastAsia" w:ascii="华文中宋" w:hAnsi="华文中宋" w:eastAsia="华文中宋" w:cs="华文中宋"/>
          <w:szCs w:val="18"/>
          <w:lang w:val="en-US"/>
        </w:rPr>
        <w:fldChar w:fldCharType="end"/>
      </w:r>
    </w:p>
    <w:p w14:paraId="282CB332">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_Toc6819 </w:instrText>
      </w:r>
      <w:r>
        <w:rPr>
          <w:rFonts w:hint="eastAsia" w:ascii="华文中宋" w:hAnsi="华文中宋" w:eastAsia="华文中宋" w:cs="华文中宋"/>
          <w:szCs w:val="18"/>
          <w:lang w:val="en-US"/>
        </w:rPr>
        <w:fldChar w:fldCharType="separate"/>
      </w:r>
      <w:r>
        <w:rPr>
          <w:rFonts w:hint="eastAsia"/>
          <w:lang w:val="en-US"/>
        </w:rPr>
        <w:t>6.7.3. 服务组织及机制</w:t>
      </w:r>
      <w:r>
        <w:tab/>
      </w:r>
      <w:r>
        <w:fldChar w:fldCharType="begin"/>
      </w:r>
      <w:r>
        <w:instrText xml:space="preserve"> PAGEREF _Toc6819 \h </w:instrText>
      </w:r>
      <w:r>
        <w:fldChar w:fldCharType="separate"/>
      </w:r>
      <w:r>
        <w:t>132</w:t>
      </w:r>
      <w:r>
        <w:fldChar w:fldCharType="end"/>
      </w:r>
      <w:r>
        <w:rPr>
          <w:rFonts w:hint="eastAsia" w:ascii="华文中宋" w:hAnsi="华文中宋" w:eastAsia="华文中宋" w:cs="华文中宋"/>
          <w:szCs w:val="18"/>
          <w:lang w:val="en-US"/>
        </w:rPr>
        <w:fldChar w:fldCharType="end"/>
      </w:r>
    </w:p>
    <w:p w14:paraId="1C644B6D">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_Toc23913 </w:instrText>
      </w:r>
      <w:r>
        <w:rPr>
          <w:rFonts w:hint="eastAsia" w:ascii="华文中宋" w:hAnsi="华文中宋" w:eastAsia="华文中宋" w:cs="华文中宋"/>
          <w:szCs w:val="18"/>
          <w:lang w:val="en-US"/>
        </w:rPr>
        <w:fldChar w:fldCharType="separate"/>
      </w:r>
      <w:r>
        <w:rPr>
          <w:rFonts w:hint="eastAsia"/>
          <w:lang w:val="en-US"/>
        </w:rPr>
        <w:t>6.8. 落实信创要求的情况说明</w:t>
      </w:r>
      <w:r>
        <w:tab/>
      </w:r>
      <w:r>
        <w:fldChar w:fldCharType="begin"/>
      </w:r>
      <w:r>
        <w:instrText xml:space="preserve"> PAGEREF _Toc23913 \h </w:instrText>
      </w:r>
      <w:r>
        <w:fldChar w:fldCharType="separate"/>
      </w:r>
      <w:r>
        <w:t>135</w:t>
      </w:r>
      <w:r>
        <w:fldChar w:fldCharType="end"/>
      </w:r>
      <w:r>
        <w:rPr>
          <w:rFonts w:hint="eastAsia" w:ascii="华文中宋" w:hAnsi="华文中宋" w:eastAsia="华文中宋" w:cs="华文中宋"/>
          <w:szCs w:val="18"/>
          <w:lang w:val="en-US"/>
        </w:rPr>
        <w:fldChar w:fldCharType="end"/>
      </w:r>
    </w:p>
    <w:p w14:paraId="40D0ABB2">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_Toc22040 </w:instrText>
      </w:r>
      <w:r>
        <w:rPr>
          <w:rFonts w:hint="eastAsia" w:ascii="华文中宋" w:hAnsi="华文中宋" w:eastAsia="华文中宋" w:cs="华文中宋"/>
          <w:szCs w:val="18"/>
          <w:lang w:val="en-US"/>
        </w:rPr>
        <w:fldChar w:fldCharType="separate"/>
      </w:r>
      <w:r>
        <w:rPr>
          <w:rFonts w:hint="eastAsia"/>
          <w:lang w:val="en-US"/>
        </w:rPr>
        <w:t>第七章 项目施工方案</w:t>
      </w:r>
      <w:r>
        <w:tab/>
      </w:r>
      <w:r>
        <w:fldChar w:fldCharType="begin"/>
      </w:r>
      <w:r>
        <w:instrText xml:space="preserve"> PAGEREF _Toc22040 \h </w:instrText>
      </w:r>
      <w:r>
        <w:fldChar w:fldCharType="separate"/>
      </w:r>
      <w:r>
        <w:t>135</w:t>
      </w:r>
      <w:r>
        <w:fldChar w:fldCharType="end"/>
      </w:r>
      <w:r>
        <w:rPr>
          <w:rFonts w:hint="eastAsia" w:ascii="华文中宋" w:hAnsi="华文中宋" w:eastAsia="华文中宋" w:cs="华文中宋"/>
          <w:szCs w:val="18"/>
          <w:lang w:val="en-US"/>
        </w:rPr>
        <w:fldChar w:fldCharType="end"/>
      </w:r>
    </w:p>
    <w:p w14:paraId="29C6CF8C">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_Toc13880 </w:instrText>
      </w:r>
      <w:r>
        <w:rPr>
          <w:rFonts w:hint="eastAsia" w:ascii="华文中宋" w:hAnsi="华文中宋" w:eastAsia="华文中宋" w:cs="华文中宋"/>
          <w:szCs w:val="18"/>
          <w:lang w:val="en-US"/>
        </w:rPr>
        <w:fldChar w:fldCharType="separate"/>
      </w:r>
      <w:r>
        <w:rPr>
          <w:rFonts w:hint="eastAsia"/>
          <w:lang w:val="en-US"/>
        </w:rPr>
        <w:t>7.1. 施工总体要求</w:t>
      </w:r>
      <w:r>
        <w:tab/>
      </w:r>
      <w:r>
        <w:fldChar w:fldCharType="begin"/>
      </w:r>
      <w:r>
        <w:instrText xml:space="preserve"> PAGEREF _Toc13880 \h </w:instrText>
      </w:r>
      <w:r>
        <w:fldChar w:fldCharType="separate"/>
      </w:r>
      <w:r>
        <w:t>135</w:t>
      </w:r>
      <w:r>
        <w:fldChar w:fldCharType="end"/>
      </w:r>
      <w:r>
        <w:rPr>
          <w:rFonts w:hint="eastAsia" w:ascii="华文中宋" w:hAnsi="华文中宋" w:eastAsia="华文中宋" w:cs="华文中宋"/>
          <w:szCs w:val="18"/>
          <w:lang w:val="en-US"/>
        </w:rPr>
        <w:fldChar w:fldCharType="end"/>
      </w:r>
    </w:p>
    <w:p w14:paraId="47CA0E79">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_Toc20422 </w:instrText>
      </w:r>
      <w:r>
        <w:rPr>
          <w:rFonts w:hint="eastAsia" w:ascii="华文中宋" w:hAnsi="华文中宋" w:eastAsia="华文中宋" w:cs="华文中宋"/>
          <w:szCs w:val="18"/>
          <w:lang w:val="en-US"/>
        </w:rPr>
        <w:fldChar w:fldCharType="separate"/>
      </w:r>
      <w:r>
        <w:rPr>
          <w:rFonts w:hint="eastAsia"/>
          <w:lang w:val="en-US"/>
        </w:rPr>
        <w:t xml:space="preserve">7.1.1. </w:t>
      </w:r>
      <w:r>
        <w:rPr>
          <w:lang w:val="en-US"/>
        </w:rPr>
        <w:t>施工</w:t>
      </w:r>
      <w:r>
        <w:rPr>
          <w:rFonts w:hint="eastAsia"/>
          <w:lang w:val="en-US"/>
        </w:rPr>
        <w:t>总体</w:t>
      </w:r>
      <w:r>
        <w:rPr>
          <w:lang w:val="en-US"/>
        </w:rPr>
        <w:t>目标</w:t>
      </w:r>
      <w:r>
        <w:tab/>
      </w:r>
      <w:r>
        <w:fldChar w:fldCharType="begin"/>
      </w:r>
      <w:r>
        <w:instrText xml:space="preserve"> PAGEREF _Toc20422 \h </w:instrText>
      </w:r>
      <w:r>
        <w:fldChar w:fldCharType="separate"/>
      </w:r>
      <w:r>
        <w:t>135</w:t>
      </w:r>
      <w:r>
        <w:fldChar w:fldCharType="end"/>
      </w:r>
      <w:r>
        <w:rPr>
          <w:rFonts w:hint="eastAsia" w:ascii="华文中宋" w:hAnsi="华文中宋" w:eastAsia="华文中宋" w:cs="华文中宋"/>
          <w:szCs w:val="18"/>
          <w:lang w:val="en-US"/>
        </w:rPr>
        <w:fldChar w:fldCharType="end"/>
      </w:r>
    </w:p>
    <w:p w14:paraId="01E51D2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_Toc19457 </w:instrText>
      </w:r>
      <w:r>
        <w:rPr>
          <w:rFonts w:hint="eastAsia" w:ascii="华文中宋" w:hAnsi="华文中宋" w:eastAsia="华文中宋" w:cs="华文中宋"/>
          <w:szCs w:val="18"/>
          <w:lang w:val="en-US"/>
        </w:rPr>
        <w:fldChar w:fldCharType="separate"/>
      </w:r>
      <w:r>
        <w:rPr>
          <w:rFonts w:hint="eastAsia"/>
          <w:lang w:val="en-US"/>
        </w:rPr>
        <w:t xml:space="preserve">7.1.2. </w:t>
      </w:r>
      <w:r>
        <w:rPr>
          <w:lang w:val="en-US"/>
        </w:rPr>
        <w:t>施工遵循标准与规范</w:t>
      </w:r>
      <w:r>
        <w:tab/>
      </w:r>
      <w:r>
        <w:fldChar w:fldCharType="begin"/>
      </w:r>
      <w:r>
        <w:instrText xml:space="preserve"> PAGEREF _Toc19457 \h </w:instrText>
      </w:r>
      <w:r>
        <w:fldChar w:fldCharType="separate"/>
      </w:r>
      <w:r>
        <w:t>135</w:t>
      </w:r>
      <w:r>
        <w:fldChar w:fldCharType="end"/>
      </w:r>
      <w:r>
        <w:rPr>
          <w:rFonts w:hint="eastAsia" w:ascii="华文中宋" w:hAnsi="华文中宋" w:eastAsia="华文中宋" w:cs="华文中宋"/>
          <w:szCs w:val="18"/>
          <w:lang w:val="en-US"/>
        </w:rPr>
        <w:fldChar w:fldCharType="end"/>
      </w:r>
    </w:p>
    <w:p w14:paraId="741E078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_Toc22668 </w:instrText>
      </w:r>
      <w:r>
        <w:rPr>
          <w:rFonts w:hint="eastAsia" w:ascii="华文中宋" w:hAnsi="华文中宋" w:eastAsia="华文中宋" w:cs="华文中宋"/>
          <w:szCs w:val="18"/>
          <w:lang w:val="en-US"/>
        </w:rPr>
        <w:fldChar w:fldCharType="separate"/>
      </w:r>
      <w:r>
        <w:rPr>
          <w:rFonts w:hint="eastAsia"/>
          <w:lang w:val="en-US"/>
        </w:rPr>
        <w:t>7.1.3. 施工坐标系与精度要求</w:t>
      </w:r>
      <w:r>
        <w:tab/>
      </w:r>
      <w:r>
        <w:fldChar w:fldCharType="begin"/>
      </w:r>
      <w:r>
        <w:instrText xml:space="preserve"> PAGEREF _Toc22668 \h </w:instrText>
      </w:r>
      <w:r>
        <w:fldChar w:fldCharType="separate"/>
      </w:r>
      <w:r>
        <w:t>136</w:t>
      </w:r>
      <w:r>
        <w:fldChar w:fldCharType="end"/>
      </w:r>
      <w:r>
        <w:rPr>
          <w:rFonts w:hint="eastAsia" w:ascii="华文中宋" w:hAnsi="华文中宋" w:eastAsia="华文中宋" w:cs="华文中宋"/>
          <w:szCs w:val="18"/>
          <w:lang w:val="en-US"/>
        </w:rPr>
        <w:fldChar w:fldCharType="end"/>
      </w:r>
    </w:p>
    <w:p w14:paraId="34E12E6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_Toc23397 </w:instrText>
      </w:r>
      <w:r>
        <w:rPr>
          <w:rFonts w:hint="eastAsia" w:ascii="华文中宋" w:hAnsi="华文中宋" w:eastAsia="华文中宋" w:cs="华文中宋"/>
          <w:szCs w:val="18"/>
          <w:lang w:val="en-US"/>
        </w:rPr>
        <w:fldChar w:fldCharType="separate"/>
      </w:r>
      <w:r>
        <w:rPr>
          <w:rFonts w:hint="eastAsia"/>
          <w:lang w:val="en-US"/>
        </w:rPr>
        <w:t xml:space="preserve">7.1.4. </w:t>
      </w:r>
      <w:r>
        <w:rPr>
          <w:lang w:val="en-US"/>
        </w:rPr>
        <w:t>施工</w:t>
      </w:r>
      <w:r>
        <w:rPr>
          <w:rFonts w:hint="eastAsia"/>
          <w:lang w:val="en-US"/>
        </w:rPr>
        <w:t>相关</w:t>
      </w:r>
      <w:r>
        <w:rPr>
          <w:lang w:val="en-US"/>
        </w:rPr>
        <w:t>要求</w:t>
      </w:r>
      <w:r>
        <w:tab/>
      </w:r>
      <w:r>
        <w:fldChar w:fldCharType="begin"/>
      </w:r>
      <w:r>
        <w:instrText xml:space="preserve"> PAGEREF _Toc23397 \h </w:instrText>
      </w:r>
      <w:r>
        <w:fldChar w:fldCharType="separate"/>
      </w:r>
      <w:r>
        <w:t>137</w:t>
      </w:r>
      <w:r>
        <w:fldChar w:fldCharType="end"/>
      </w:r>
      <w:r>
        <w:rPr>
          <w:rFonts w:hint="eastAsia" w:ascii="华文中宋" w:hAnsi="华文中宋" w:eastAsia="华文中宋" w:cs="华文中宋"/>
          <w:szCs w:val="18"/>
          <w:lang w:val="en-US"/>
        </w:rPr>
        <w:fldChar w:fldCharType="end"/>
      </w:r>
    </w:p>
    <w:p w14:paraId="2AFCA29D">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_Toc5344 </w:instrText>
      </w:r>
      <w:r>
        <w:rPr>
          <w:rFonts w:hint="eastAsia" w:ascii="华文中宋" w:hAnsi="华文中宋" w:eastAsia="华文中宋" w:cs="华文中宋"/>
          <w:szCs w:val="18"/>
          <w:lang w:val="en-US"/>
        </w:rPr>
        <w:fldChar w:fldCharType="separate"/>
      </w:r>
      <w:r>
        <w:rPr>
          <w:rFonts w:hint="eastAsia"/>
          <w:lang w:val="en-US"/>
        </w:rPr>
        <w:t>7.2. 点位施工</w:t>
      </w:r>
      <w:r>
        <w:tab/>
      </w:r>
      <w:r>
        <w:fldChar w:fldCharType="begin"/>
      </w:r>
      <w:r>
        <w:instrText xml:space="preserve"> PAGEREF _Toc5344 \h </w:instrText>
      </w:r>
      <w:r>
        <w:fldChar w:fldCharType="separate"/>
      </w:r>
      <w:r>
        <w:t>139</w:t>
      </w:r>
      <w:r>
        <w:fldChar w:fldCharType="end"/>
      </w:r>
      <w:r>
        <w:rPr>
          <w:rFonts w:hint="eastAsia" w:ascii="华文中宋" w:hAnsi="华文中宋" w:eastAsia="华文中宋" w:cs="华文中宋"/>
          <w:szCs w:val="18"/>
          <w:lang w:val="en-US"/>
        </w:rPr>
        <w:fldChar w:fldCharType="end"/>
      </w:r>
    </w:p>
    <w:p w14:paraId="428CA9E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_Toc12297 </w:instrText>
      </w:r>
      <w:r>
        <w:rPr>
          <w:rFonts w:hint="eastAsia" w:ascii="华文中宋" w:hAnsi="华文中宋" w:eastAsia="华文中宋" w:cs="华文中宋"/>
          <w:szCs w:val="18"/>
          <w:lang w:val="en-US"/>
        </w:rPr>
        <w:fldChar w:fldCharType="separate"/>
      </w:r>
      <w:r>
        <w:rPr>
          <w:rFonts w:hint="eastAsia"/>
          <w:lang w:val="en-US"/>
        </w:rPr>
        <w:t>7.2.1. 无人机场（34套）</w:t>
      </w:r>
      <w:r>
        <w:tab/>
      </w:r>
      <w:r>
        <w:fldChar w:fldCharType="begin"/>
      </w:r>
      <w:r>
        <w:instrText xml:space="preserve"> PAGEREF _Toc12297 \h </w:instrText>
      </w:r>
      <w:r>
        <w:fldChar w:fldCharType="separate"/>
      </w:r>
      <w:r>
        <w:t>139</w:t>
      </w:r>
      <w:r>
        <w:fldChar w:fldCharType="end"/>
      </w:r>
      <w:r>
        <w:rPr>
          <w:rFonts w:hint="eastAsia" w:ascii="华文中宋" w:hAnsi="华文中宋" w:eastAsia="华文中宋" w:cs="华文中宋"/>
          <w:szCs w:val="18"/>
          <w:lang w:val="en-US"/>
        </w:rPr>
        <w:fldChar w:fldCharType="end"/>
      </w:r>
    </w:p>
    <w:p w14:paraId="70D50FF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_Toc7859 </w:instrText>
      </w:r>
      <w:r>
        <w:rPr>
          <w:rFonts w:hint="eastAsia" w:ascii="华文中宋" w:hAnsi="华文中宋" w:eastAsia="华文中宋" w:cs="华文中宋"/>
          <w:szCs w:val="18"/>
          <w:lang w:val="en-US"/>
        </w:rPr>
        <w:fldChar w:fldCharType="separate"/>
      </w:r>
      <w:r>
        <w:rPr>
          <w:rFonts w:hint="eastAsia"/>
          <w:lang w:val="en-US"/>
        </w:rPr>
        <w:t>7.2.2. 一体化云台摄像机（17台）</w:t>
      </w:r>
      <w:r>
        <w:tab/>
      </w:r>
      <w:r>
        <w:fldChar w:fldCharType="begin"/>
      </w:r>
      <w:r>
        <w:instrText xml:space="preserve"> PAGEREF _Toc7859 \h </w:instrText>
      </w:r>
      <w:r>
        <w:fldChar w:fldCharType="separate"/>
      </w:r>
      <w:r>
        <w:t>146</w:t>
      </w:r>
      <w:r>
        <w:fldChar w:fldCharType="end"/>
      </w:r>
      <w:r>
        <w:rPr>
          <w:rFonts w:hint="eastAsia" w:ascii="华文中宋" w:hAnsi="华文中宋" w:eastAsia="华文中宋" w:cs="华文中宋"/>
          <w:szCs w:val="18"/>
          <w:lang w:val="en-US"/>
        </w:rPr>
        <w:fldChar w:fldCharType="end"/>
      </w:r>
    </w:p>
    <w:p w14:paraId="5B30A87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_Toc3444 </w:instrText>
      </w:r>
      <w:r>
        <w:rPr>
          <w:rFonts w:hint="eastAsia" w:ascii="华文中宋" w:hAnsi="华文中宋" w:eastAsia="华文中宋" w:cs="华文中宋"/>
          <w:szCs w:val="18"/>
          <w:lang w:val="en-US"/>
        </w:rPr>
        <w:fldChar w:fldCharType="separate"/>
      </w:r>
      <w:r>
        <w:rPr>
          <w:rFonts w:hint="eastAsia"/>
          <w:lang w:val="en-US"/>
        </w:rPr>
        <w:t xml:space="preserve">7.2.3. </w:t>
      </w:r>
      <w:r>
        <w:rPr>
          <w:rFonts w:hint="eastAsia"/>
          <w:lang w:val="en-US" w:eastAsia="zh-CN"/>
        </w:rPr>
        <w:t>超短波</w:t>
      </w:r>
      <w:r>
        <w:rPr>
          <w:rFonts w:hint="eastAsia"/>
          <w:lang w:val="en-US"/>
        </w:rPr>
        <w:t>固定基站（5套）</w:t>
      </w:r>
      <w:r>
        <w:tab/>
      </w:r>
      <w:r>
        <w:fldChar w:fldCharType="begin"/>
      </w:r>
      <w:r>
        <w:instrText xml:space="preserve"> PAGEREF _Toc3444 \h </w:instrText>
      </w:r>
      <w:r>
        <w:fldChar w:fldCharType="separate"/>
      </w:r>
      <w:r>
        <w:t>149</w:t>
      </w:r>
      <w:r>
        <w:fldChar w:fldCharType="end"/>
      </w:r>
      <w:r>
        <w:rPr>
          <w:rFonts w:hint="eastAsia" w:ascii="华文中宋" w:hAnsi="华文中宋" w:eastAsia="华文中宋" w:cs="华文中宋"/>
          <w:szCs w:val="18"/>
          <w:lang w:val="en-US"/>
        </w:rPr>
        <w:fldChar w:fldCharType="end"/>
      </w:r>
    </w:p>
    <w:p w14:paraId="54AAE53E">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_Toc24415 </w:instrText>
      </w:r>
      <w:r>
        <w:rPr>
          <w:rFonts w:hint="eastAsia" w:ascii="华文中宋" w:hAnsi="华文中宋" w:eastAsia="华文中宋" w:cs="华文中宋"/>
          <w:szCs w:val="18"/>
          <w:lang w:val="en-US"/>
        </w:rPr>
        <w:fldChar w:fldCharType="separate"/>
      </w:r>
      <w:r>
        <w:rPr>
          <w:rFonts w:hint="eastAsia"/>
          <w:lang w:val="en-US"/>
        </w:rPr>
        <w:t>7.2.4. 视频监控前端（9套）</w:t>
      </w:r>
      <w:r>
        <w:tab/>
      </w:r>
      <w:r>
        <w:fldChar w:fldCharType="begin"/>
      </w:r>
      <w:r>
        <w:instrText xml:space="preserve"> PAGEREF _Toc24415 \h </w:instrText>
      </w:r>
      <w:r>
        <w:fldChar w:fldCharType="separate"/>
      </w:r>
      <w:r>
        <w:t>151</w:t>
      </w:r>
      <w:r>
        <w:fldChar w:fldCharType="end"/>
      </w:r>
      <w:r>
        <w:rPr>
          <w:rFonts w:hint="eastAsia" w:ascii="华文中宋" w:hAnsi="华文中宋" w:eastAsia="华文中宋" w:cs="华文中宋"/>
          <w:szCs w:val="18"/>
          <w:lang w:val="en-US"/>
        </w:rPr>
        <w:fldChar w:fldCharType="end"/>
      </w:r>
    </w:p>
    <w:p w14:paraId="61445893">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_Toc25543 </w:instrText>
      </w:r>
      <w:r>
        <w:rPr>
          <w:rFonts w:hint="eastAsia" w:ascii="华文中宋" w:hAnsi="华文中宋" w:eastAsia="华文中宋" w:cs="华文中宋"/>
          <w:szCs w:val="18"/>
          <w:lang w:val="en-US"/>
        </w:rPr>
        <w:fldChar w:fldCharType="separate"/>
      </w:r>
      <w:r>
        <w:rPr>
          <w:rFonts w:hint="eastAsia"/>
          <w:lang w:val="en-US"/>
        </w:rPr>
        <w:t>7.3. 施工</w:t>
      </w:r>
      <w:r>
        <w:rPr>
          <w:rFonts w:hint="eastAsia"/>
          <w:lang w:val="en-US" w:eastAsia="zh-CN"/>
        </w:rPr>
        <w:t>方案</w:t>
      </w:r>
      <w:r>
        <w:tab/>
      </w:r>
      <w:r>
        <w:fldChar w:fldCharType="begin"/>
      </w:r>
      <w:r>
        <w:instrText xml:space="preserve"> PAGEREF _Toc25543 \h </w:instrText>
      </w:r>
      <w:r>
        <w:fldChar w:fldCharType="separate"/>
      </w:r>
      <w:r>
        <w:t>153</w:t>
      </w:r>
      <w:r>
        <w:fldChar w:fldCharType="end"/>
      </w:r>
      <w:r>
        <w:rPr>
          <w:rFonts w:hint="eastAsia" w:ascii="华文中宋" w:hAnsi="华文中宋" w:eastAsia="华文中宋" w:cs="华文中宋"/>
          <w:szCs w:val="18"/>
          <w:lang w:val="en-US"/>
        </w:rPr>
        <w:fldChar w:fldCharType="end"/>
      </w:r>
    </w:p>
    <w:p w14:paraId="124EB67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_Toc10760 </w:instrText>
      </w:r>
      <w:r>
        <w:rPr>
          <w:rFonts w:hint="eastAsia" w:ascii="华文中宋" w:hAnsi="华文中宋" w:eastAsia="华文中宋" w:cs="华文中宋"/>
          <w:szCs w:val="18"/>
          <w:lang w:val="en-US"/>
        </w:rPr>
        <w:fldChar w:fldCharType="separate"/>
      </w:r>
      <w:r>
        <w:rPr>
          <w:rFonts w:hint="eastAsia"/>
          <w:lang w:val="en-US"/>
        </w:rPr>
        <w:t>7.3.1. 无人机机场</w:t>
      </w:r>
      <w:r>
        <w:tab/>
      </w:r>
      <w:r>
        <w:fldChar w:fldCharType="begin"/>
      </w:r>
      <w:r>
        <w:instrText xml:space="preserve"> PAGEREF _Toc10760 \h </w:instrText>
      </w:r>
      <w:r>
        <w:fldChar w:fldCharType="separate"/>
      </w:r>
      <w:r>
        <w:t>153</w:t>
      </w:r>
      <w:r>
        <w:fldChar w:fldCharType="end"/>
      </w:r>
      <w:r>
        <w:rPr>
          <w:rFonts w:hint="eastAsia" w:ascii="华文中宋" w:hAnsi="华文中宋" w:eastAsia="华文中宋" w:cs="华文中宋"/>
          <w:szCs w:val="18"/>
          <w:lang w:val="en-US"/>
        </w:rPr>
        <w:fldChar w:fldCharType="end"/>
      </w:r>
    </w:p>
    <w:p w14:paraId="567B3E82">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_Toc22283 </w:instrText>
      </w:r>
      <w:r>
        <w:rPr>
          <w:rFonts w:hint="eastAsia" w:ascii="华文中宋" w:hAnsi="华文中宋" w:eastAsia="华文中宋" w:cs="华文中宋"/>
          <w:szCs w:val="18"/>
          <w:lang w:val="en-US"/>
        </w:rPr>
        <w:fldChar w:fldCharType="separate"/>
      </w:r>
      <w:r>
        <w:rPr>
          <w:rFonts w:hint="eastAsia"/>
          <w:lang w:val="en-US"/>
        </w:rPr>
        <w:t>7.3.2. 森林防火</w:t>
      </w:r>
      <w:r>
        <w:rPr>
          <w:rFonts w:hint="eastAsia"/>
          <w:lang w:val="en-US" w:eastAsia="zh-CN"/>
        </w:rPr>
        <w:t>视频监控</w:t>
      </w:r>
      <w:r>
        <w:rPr>
          <w:rFonts w:hint="eastAsia"/>
          <w:lang w:val="en-US"/>
        </w:rPr>
        <w:t>前端</w:t>
      </w:r>
      <w:r>
        <w:tab/>
      </w:r>
      <w:r>
        <w:fldChar w:fldCharType="begin"/>
      </w:r>
      <w:r>
        <w:instrText xml:space="preserve"> PAGEREF _Toc22283 \h </w:instrText>
      </w:r>
      <w:r>
        <w:fldChar w:fldCharType="separate"/>
      </w:r>
      <w:r>
        <w:t>158</w:t>
      </w:r>
      <w:r>
        <w:fldChar w:fldCharType="end"/>
      </w:r>
      <w:r>
        <w:rPr>
          <w:rFonts w:hint="eastAsia" w:ascii="华文中宋" w:hAnsi="华文中宋" w:eastAsia="华文中宋" w:cs="华文中宋"/>
          <w:szCs w:val="18"/>
          <w:lang w:val="en-US"/>
        </w:rPr>
        <w:fldChar w:fldCharType="end"/>
      </w:r>
    </w:p>
    <w:p w14:paraId="3742A4A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_Toc8735 </w:instrText>
      </w:r>
      <w:r>
        <w:rPr>
          <w:rFonts w:hint="eastAsia" w:ascii="华文中宋" w:hAnsi="华文中宋" w:eastAsia="华文中宋" w:cs="华文中宋"/>
          <w:szCs w:val="18"/>
          <w:lang w:val="en-US"/>
        </w:rPr>
        <w:fldChar w:fldCharType="separate"/>
      </w:r>
      <w:r>
        <w:rPr>
          <w:rFonts w:hint="eastAsia"/>
          <w:lang w:val="en-US"/>
        </w:rPr>
        <w:t>7.3.3. 森林防火视频语音杆</w:t>
      </w:r>
      <w:r>
        <w:tab/>
      </w:r>
      <w:r>
        <w:fldChar w:fldCharType="begin"/>
      </w:r>
      <w:r>
        <w:instrText xml:space="preserve"> PAGEREF _Toc8735 \h </w:instrText>
      </w:r>
      <w:r>
        <w:fldChar w:fldCharType="separate"/>
      </w:r>
      <w:r>
        <w:t>163</w:t>
      </w:r>
      <w:r>
        <w:fldChar w:fldCharType="end"/>
      </w:r>
      <w:r>
        <w:rPr>
          <w:rFonts w:hint="eastAsia" w:ascii="华文中宋" w:hAnsi="华文中宋" w:eastAsia="华文中宋" w:cs="华文中宋"/>
          <w:szCs w:val="18"/>
          <w:lang w:val="en-US"/>
        </w:rPr>
        <w:fldChar w:fldCharType="end"/>
      </w:r>
    </w:p>
    <w:p w14:paraId="56E6509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_Toc5686 </w:instrText>
      </w:r>
      <w:r>
        <w:rPr>
          <w:rFonts w:hint="eastAsia" w:ascii="华文中宋" w:hAnsi="华文中宋" w:eastAsia="华文中宋" w:cs="华文中宋"/>
          <w:szCs w:val="18"/>
          <w:lang w:val="en-US"/>
        </w:rPr>
        <w:fldChar w:fldCharType="separate"/>
      </w:r>
      <w:r>
        <w:rPr>
          <w:rFonts w:hint="eastAsia"/>
          <w:lang w:val="en-US"/>
        </w:rPr>
        <w:t xml:space="preserve">7.3.4. </w:t>
      </w:r>
      <w:r>
        <w:rPr>
          <w:rFonts w:hint="eastAsia"/>
          <w:lang w:val="en-US" w:eastAsia="zh-CN"/>
        </w:rPr>
        <w:t>一体化云台摄像机</w:t>
      </w:r>
      <w:r>
        <w:tab/>
      </w:r>
      <w:r>
        <w:fldChar w:fldCharType="begin"/>
      </w:r>
      <w:r>
        <w:instrText xml:space="preserve"> PAGEREF _Toc5686 \h </w:instrText>
      </w:r>
      <w:r>
        <w:fldChar w:fldCharType="separate"/>
      </w:r>
      <w:r>
        <w:t>166</w:t>
      </w:r>
      <w:r>
        <w:fldChar w:fldCharType="end"/>
      </w:r>
      <w:r>
        <w:rPr>
          <w:rFonts w:hint="eastAsia" w:ascii="华文中宋" w:hAnsi="华文中宋" w:eastAsia="华文中宋" w:cs="华文中宋"/>
          <w:szCs w:val="18"/>
          <w:lang w:val="en-US"/>
        </w:rPr>
        <w:fldChar w:fldCharType="end"/>
      </w:r>
    </w:p>
    <w:p w14:paraId="411FB72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_Toc5866 </w:instrText>
      </w:r>
      <w:r>
        <w:rPr>
          <w:rFonts w:hint="eastAsia" w:ascii="华文中宋" w:hAnsi="华文中宋" w:eastAsia="华文中宋" w:cs="华文中宋"/>
          <w:szCs w:val="18"/>
          <w:lang w:val="en-US"/>
        </w:rPr>
        <w:fldChar w:fldCharType="separate"/>
      </w:r>
      <w:r>
        <w:rPr>
          <w:rFonts w:hint="eastAsia"/>
          <w:lang w:val="en-US"/>
        </w:rPr>
        <w:t xml:space="preserve">7.3.5. </w:t>
      </w:r>
      <w:r>
        <w:rPr>
          <w:lang w:val="en-US"/>
        </w:rPr>
        <w:t>数字超短波固定基站</w:t>
      </w:r>
      <w:r>
        <w:tab/>
      </w:r>
      <w:r>
        <w:fldChar w:fldCharType="begin"/>
      </w:r>
      <w:r>
        <w:instrText xml:space="preserve"> PAGEREF _Toc5866 \h </w:instrText>
      </w:r>
      <w:r>
        <w:fldChar w:fldCharType="separate"/>
      </w:r>
      <w:r>
        <w:t>168</w:t>
      </w:r>
      <w:r>
        <w:fldChar w:fldCharType="end"/>
      </w:r>
      <w:r>
        <w:rPr>
          <w:rFonts w:hint="eastAsia" w:ascii="华文中宋" w:hAnsi="华文中宋" w:eastAsia="华文中宋" w:cs="华文中宋"/>
          <w:szCs w:val="18"/>
          <w:lang w:val="en-US"/>
        </w:rPr>
        <w:fldChar w:fldCharType="end"/>
      </w:r>
    </w:p>
    <w:p w14:paraId="53F1E445">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_Toc10005 </w:instrText>
      </w:r>
      <w:r>
        <w:rPr>
          <w:rFonts w:hint="eastAsia" w:ascii="华文中宋" w:hAnsi="华文中宋" w:eastAsia="华文中宋" w:cs="华文中宋"/>
          <w:szCs w:val="18"/>
          <w:lang w:val="en-US"/>
        </w:rPr>
        <w:fldChar w:fldCharType="separate"/>
      </w:r>
      <w:r>
        <w:rPr>
          <w:rFonts w:hint="eastAsia"/>
          <w:lang w:val="en-US"/>
        </w:rPr>
        <w:t>7.4. 系统调试与联调方案</w:t>
      </w:r>
      <w:r>
        <w:tab/>
      </w:r>
      <w:r>
        <w:fldChar w:fldCharType="begin"/>
      </w:r>
      <w:r>
        <w:instrText xml:space="preserve"> PAGEREF _Toc10005 \h </w:instrText>
      </w:r>
      <w:r>
        <w:fldChar w:fldCharType="separate"/>
      </w:r>
      <w:r>
        <w:t>170</w:t>
      </w:r>
      <w:r>
        <w:fldChar w:fldCharType="end"/>
      </w:r>
      <w:r>
        <w:rPr>
          <w:rFonts w:hint="eastAsia" w:ascii="华文中宋" w:hAnsi="华文中宋" w:eastAsia="华文中宋" w:cs="华文中宋"/>
          <w:szCs w:val="18"/>
          <w:lang w:val="en-US"/>
        </w:rPr>
        <w:fldChar w:fldCharType="end"/>
      </w:r>
    </w:p>
    <w:p w14:paraId="689E71A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_Toc1073 </w:instrText>
      </w:r>
      <w:r>
        <w:rPr>
          <w:rFonts w:hint="eastAsia" w:ascii="华文中宋" w:hAnsi="华文中宋" w:eastAsia="华文中宋" w:cs="华文中宋"/>
          <w:szCs w:val="18"/>
          <w:lang w:val="en-US"/>
        </w:rPr>
        <w:fldChar w:fldCharType="separate"/>
      </w:r>
      <w:r>
        <w:rPr>
          <w:rFonts w:hint="eastAsia"/>
          <w:lang w:val="en-US"/>
        </w:rPr>
        <w:t xml:space="preserve">7.4.1. </w:t>
      </w:r>
      <w:r>
        <w:rPr>
          <w:lang w:val="en-US"/>
        </w:rPr>
        <w:t>方案概述</w:t>
      </w:r>
      <w:r>
        <w:tab/>
      </w:r>
      <w:r>
        <w:fldChar w:fldCharType="begin"/>
      </w:r>
      <w:r>
        <w:instrText xml:space="preserve"> PAGEREF _Toc1073 \h </w:instrText>
      </w:r>
      <w:r>
        <w:fldChar w:fldCharType="separate"/>
      </w:r>
      <w:r>
        <w:t>170</w:t>
      </w:r>
      <w:r>
        <w:fldChar w:fldCharType="end"/>
      </w:r>
      <w:r>
        <w:rPr>
          <w:rFonts w:hint="eastAsia" w:ascii="华文中宋" w:hAnsi="华文中宋" w:eastAsia="华文中宋" w:cs="华文中宋"/>
          <w:szCs w:val="18"/>
          <w:lang w:val="en-US"/>
        </w:rPr>
        <w:fldChar w:fldCharType="end"/>
      </w:r>
    </w:p>
    <w:p w14:paraId="43D00AA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_Toc14007 </w:instrText>
      </w:r>
      <w:r>
        <w:rPr>
          <w:rFonts w:hint="eastAsia" w:ascii="华文中宋" w:hAnsi="华文中宋" w:eastAsia="华文中宋" w:cs="华文中宋"/>
          <w:szCs w:val="18"/>
          <w:lang w:val="en-US"/>
        </w:rPr>
        <w:fldChar w:fldCharType="separate"/>
      </w:r>
      <w:r>
        <w:rPr>
          <w:rFonts w:hint="eastAsia"/>
          <w:lang w:val="en-US"/>
        </w:rPr>
        <w:t xml:space="preserve">7.4.2. </w:t>
      </w:r>
      <w:r>
        <w:rPr>
          <w:lang w:val="en-US"/>
        </w:rPr>
        <w:t>调试与联调目标</w:t>
      </w:r>
      <w:r>
        <w:tab/>
      </w:r>
      <w:r>
        <w:fldChar w:fldCharType="begin"/>
      </w:r>
      <w:r>
        <w:instrText xml:space="preserve"> PAGEREF _Toc14007 \h </w:instrText>
      </w:r>
      <w:r>
        <w:fldChar w:fldCharType="separate"/>
      </w:r>
      <w:r>
        <w:t>170</w:t>
      </w:r>
      <w:r>
        <w:fldChar w:fldCharType="end"/>
      </w:r>
      <w:r>
        <w:rPr>
          <w:rFonts w:hint="eastAsia" w:ascii="华文中宋" w:hAnsi="华文中宋" w:eastAsia="华文中宋" w:cs="华文中宋"/>
          <w:szCs w:val="18"/>
          <w:lang w:val="en-US"/>
        </w:rPr>
        <w:fldChar w:fldCharType="end"/>
      </w:r>
    </w:p>
    <w:p w14:paraId="6FC4B10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_Toc10633 </w:instrText>
      </w:r>
      <w:r>
        <w:rPr>
          <w:rFonts w:hint="eastAsia" w:ascii="华文中宋" w:hAnsi="华文中宋" w:eastAsia="华文中宋" w:cs="华文中宋"/>
          <w:szCs w:val="18"/>
          <w:lang w:val="en-US"/>
        </w:rPr>
        <w:fldChar w:fldCharType="separate"/>
      </w:r>
      <w:r>
        <w:rPr>
          <w:rFonts w:hint="eastAsia"/>
          <w:lang w:val="en-US"/>
        </w:rPr>
        <w:t xml:space="preserve">7.4.3. </w:t>
      </w:r>
      <w:r>
        <w:rPr>
          <w:lang w:val="en-US"/>
        </w:rPr>
        <w:t>调试与联调范围</w:t>
      </w:r>
      <w:r>
        <w:tab/>
      </w:r>
      <w:r>
        <w:fldChar w:fldCharType="begin"/>
      </w:r>
      <w:r>
        <w:instrText xml:space="preserve"> PAGEREF _Toc10633 \h </w:instrText>
      </w:r>
      <w:r>
        <w:fldChar w:fldCharType="separate"/>
      </w:r>
      <w:r>
        <w:t>171</w:t>
      </w:r>
      <w:r>
        <w:fldChar w:fldCharType="end"/>
      </w:r>
      <w:r>
        <w:rPr>
          <w:rFonts w:hint="eastAsia" w:ascii="华文中宋" w:hAnsi="华文中宋" w:eastAsia="华文中宋" w:cs="华文中宋"/>
          <w:szCs w:val="18"/>
          <w:lang w:val="en-US"/>
        </w:rPr>
        <w:fldChar w:fldCharType="end"/>
      </w:r>
    </w:p>
    <w:p w14:paraId="02C56ED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_Toc14868 </w:instrText>
      </w:r>
      <w:r>
        <w:rPr>
          <w:rFonts w:hint="eastAsia" w:ascii="华文中宋" w:hAnsi="华文中宋" w:eastAsia="华文中宋" w:cs="华文中宋"/>
          <w:szCs w:val="18"/>
          <w:lang w:val="en-US"/>
        </w:rPr>
        <w:fldChar w:fldCharType="separate"/>
      </w:r>
      <w:r>
        <w:rPr>
          <w:rFonts w:hint="eastAsia"/>
          <w:lang w:val="en-US"/>
        </w:rPr>
        <w:t xml:space="preserve">7.4.4. </w:t>
      </w:r>
      <w:r>
        <w:rPr>
          <w:lang w:val="en-US"/>
        </w:rPr>
        <w:t>调试与联调流程及内容</w:t>
      </w:r>
      <w:r>
        <w:tab/>
      </w:r>
      <w:r>
        <w:fldChar w:fldCharType="begin"/>
      </w:r>
      <w:r>
        <w:instrText xml:space="preserve"> PAGEREF _Toc14868 \h </w:instrText>
      </w:r>
      <w:r>
        <w:fldChar w:fldCharType="separate"/>
      </w:r>
      <w:r>
        <w:t>172</w:t>
      </w:r>
      <w:r>
        <w:fldChar w:fldCharType="end"/>
      </w:r>
      <w:r>
        <w:rPr>
          <w:rFonts w:hint="eastAsia" w:ascii="华文中宋" w:hAnsi="华文中宋" w:eastAsia="华文中宋" w:cs="华文中宋"/>
          <w:szCs w:val="18"/>
          <w:lang w:val="en-US"/>
        </w:rPr>
        <w:fldChar w:fldCharType="end"/>
      </w:r>
    </w:p>
    <w:p w14:paraId="2A5A364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_Toc29915 </w:instrText>
      </w:r>
      <w:r>
        <w:rPr>
          <w:rFonts w:hint="eastAsia" w:ascii="华文中宋" w:hAnsi="华文中宋" w:eastAsia="华文中宋" w:cs="华文中宋"/>
          <w:szCs w:val="18"/>
          <w:lang w:val="en-US"/>
        </w:rPr>
        <w:fldChar w:fldCharType="separate"/>
      </w:r>
      <w:r>
        <w:rPr>
          <w:rFonts w:hint="eastAsia"/>
          <w:lang w:val="en-US"/>
        </w:rPr>
        <w:t xml:space="preserve">7.4.5. </w:t>
      </w:r>
      <w:r>
        <w:rPr>
          <w:lang w:val="en-US"/>
        </w:rPr>
        <w:t>调试与联调环境准备</w:t>
      </w:r>
      <w:r>
        <w:tab/>
      </w:r>
      <w:r>
        <w:fldChar w:fldCharType="begin"/>
      </w:r>
      <w:r>
        <w:instrText xml:space="preserve"> PAGEREF _Toc29915 \h </w:instrText>
      </w:r>
      <w:r>
        <w:fldChar w:fldCharType="separate"/>
      </w:r>
      <w:r>
        <w:t>176</w:t>
      </w:r>
      <w:r>
        <w:fldChar w:fldCharType="end"/>
      </w:r>
      <w:r>
        <w:rPr>
          <w:rFonts w:hint="eastAsia" w:ascii="华文中宋" w:hAnsi="华文中宋" w:eastAsia="华文中宋" w:cs="华文中宋"/>
          <w:szCs w:val="18"/>
          <w:lang w:val="en-US"/>
        </w:rPr>
        <w:fldChar w:fldCharType="end"/>
      </w:r>
    </w:p>
    <w:p w14:paraId="7B060F2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_Toc18691 </w:instrText>
      </w:r>
      <w:r>
        <w:rPr>
          <w:rFonts w:hint="eastAsia" w:ascii="华文中宋" w:hAnsi="华文中宋" w:eastAsia="华文中宋" w:cs="华文中宋"/>
          <w:szCs w:val="18"/>
          <w:lang w:val="en-US"/>
        </w:rPr>
        <w:fldChar w:fldCharType="separate"/>
      </w:r>
      <w:r>
        <w:rPr>
          <w:rFonts w:hint="eastAsia"/>
          <w:lang w:val="en-US"/>
        </w:rPr>
        <w:t xml:space="preserve">7.4.6. </w:t>
      </w:r>
      <w:r>
        <w:rPr>
          <w:lang w:val="en-US"/>
        </w:rPr>
        <w:t>问题管理与风险控制</w:t>
      </w:r>
      <w:r>
        <w:tab/>
      </w:r>
      <w:r>
        <w:fldChar w:fldCharType="begin"/>
      </w:r>
      <w:r>
        <w:instrText xml:space="preserve"> PAGEREF _Toc18691 \h </w:instrText>
      </w:r>
      <w:r>
        <w:fldChar w:fldCharType="separate"/>
      </w:r>
      <w:r>
        <w:t>176</w:t>
      </w:r>
      <w:r>
        <w:fldChar w:fldCharType="end"/>
      </w:r>
      <w:r>
        <w:rPr>
          <w:rFonts w:hint="eastAsia" w:ascii="华文中宋" w:hAnsi="华文中宋" w:eastAsia="华文中宋" w:cs="华文中宋"/>
          <w:szCs w:val="18"/>
          <w:lang w:val="en-US"/>
        </w:rPr>
        <w:fldChar w:fldCharType="end"/>
      </w:r>
    </w:p>
    <w:p w14:paraId="53AEF1A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_Toc8710 </w:instrText>
      </w:r>
      <w:r>
        <w:rPr>
          <w:rFonts w:hint="eastAsia" w:ascii="华文中宋" w:hAnsi="华文中宋" w:eastAsia="华文中宋" w:cs="华文中宋"/>
          <w:szCs w:val="18"/>
          <w:lang w:val="en-US"/>
        </w:rPr>
        <w:fldChar w:fldCharType="separate"/>
      </w:r>
      <w:r>
        <w:rPr>
          <w:rFonts w:hint="eastAsia"/>
          <w:lang w:val="en-US"/>
        </w:rPr>
        <w:t xml:space="preserve">7.4.7. </w:t>
      </w:r>
      <w:r>
        <w:rPr>
          <w:lang w:val="en-US"/>
        </w:rPr>
        <w:t>验收标准</w:t>
      </w:r>
      <w:r>
        <w:tab/>
      </w:r>
      <w:r>
        <w:fldChar w:fldCharType="begin"/>
      </w:r>
      <w:r>
        <w:instrText xml:space="preserve"> PAGEREF _Toc8710 \h </w:instrText>
      </w:r>
      <w:r>
        <w:fldChar w:fldCharType="separate"/>
      </w:r>
      <w:r>
        <w:t>177</w:t>
      </w:r>
      <w:r>
        <w:fldChar w:fldCharType="end"/>
      </w:r>
      <w:r>
        <w:rPr>
          <w:rFonts w:hint="eastAsia" w:ascii="华文中宋" w:hAnsi="华文中宋" w:eastAsia="华文中宋" w:cs="华文中宋"/>
          <w:szCs w:val="18"/>
          <w:lang w:val="en-US"/>
        </w:rPr>
        <w:fldChar w:fldCharType="end"/>
      </w:r>
    </w:p>
    <w:p w14:paraId="7161A44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_Toc11704 </w:instrText>
      </w:r>
      <w:r>
        <w:rPr>
          <w:rFonts w:hint="eastAsia" w:ascii="华文中宋" w:hAnsi="华文中宋" w:eastAsia="华文中宋" w:cs="华文中宋"/>
          <w:szCs w:val="18"/>
          <w:lang w:val="en-US"/>
        </w:rPr>
        <w:fldChar w:fldCharType="separate"/>
      </w:r>
      <w:r>
        <w:rPr>
          <w:rFonts w:hint="eastAsia"/>
        </w:rPr>
        <w:t xml:space="preserve">7.4.8. </w:t>
      </w:r>
      <w:r>
        <w:t>保障措施</w:t>
      </w:r>
      <w:r>
        <w:tab/>
      </w:r>
      <w:r>
        <w:fldChar w:fldCharType="begin"/>
      </w:r>
      <w:r>
        <w:instrText xml:space="preserve"> PAGEREF _Toc11704 \h </w:instrText>
      </w:r>
      <w:r>
        <w:fldChar w:fldCharType="separate"/>
      </w:r>
      <w:r>
        <w:t>178</w:t>
      </w:r>
      <w:r>
        <w:fldChar w:fldCharType="end"/>
      </w:r>
      <w:r>
        <w:rPr>
          <w:rFonts w:hint="eastAsia" w:ascii="华文中宋" w:hAnsi="华文中宋" w:eastAsia="华文中宋" w:cs="华文中宋"/>
          <w:szCs w:val="18"/>
          <w:lang w:val="en-US"/>
        </w:rPr>
        <w:fldChar w:fldCharType="end"/>
      </w:r>
    </w:p>
    <w:p w14:paraId="3FDDD827">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_Toc16607 </w:instrText>
      </w:r>
      <w:r>
        <w:rPr>
          <w:rFonts w:hint="eastAsia" w:ascii="华文中宋" w:hAnsi="华文中宋" w:eastAsia="华文中宋" w:cs="华文中宋"/>
          <w:szCs w:val="18"/>
          <w:lang w:val="en-US"/>
        </w:rPr>
        <w:fldChar w:fldCharType="separate"/>
      </w:r>
      <w:r>
        <w:rPr>
          <w:rFonts w:hint="eastAsia"/>
          <w:lang w:val="en-US"/>
        </w:rPr>
        <w:t xml:space="preserve">7.5. </w:t>
      </w:r>
      <w:r>
        <w:rPr>
          <w:rFonts w:hint="default"/>
          <w:lang w:val="en-US"/>
        </w:rPr>
        <w:t>林区施工安全与生态保护专项方案</w:t>
      </w:r>
      <w:r>
        <w:tab/>
      </w:r>
      <w:r>
        <w:fldChar w:fldCharType="begin"/>
      </w:r>
      <w:r>
        <w:instrText xml:space="preserve"> PAGEREF _Toc16607 \h </w:instrText>
      </w:r>
      <w:r>
        <w:fldChar w:fldCharType="separate"/>
      </w:r>
      <w:r>
        <w:t>179</w:t>
      </w:r>
      <w:r>
        <w:fldChar w:fldCharType="end"/>
      </w:r>
      <w:r>
        <w:rPr>
          <w:rFonts w:hint="eastAsia" w:ascii="华文中宋" w:hAnsi="华文中宋" w:eastAsia="华文中宋" w:cs="华文中宋"/>
          <w:szCs w:val="18"/>
          <w:lang w:val="en-US"/>
        </w:rPr>
        <w:fldChar w:fldCharType="end"/>
      </w:r>
    </w:p>
    <w:p w14:paraId="642A57D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_Toc13668 </w:instrText>
      </w:r>
      <w:r>
        <w:rPr>
          <w:rFonts w:hint="eastAsia" w:ascii="华文中宋" w:hAnsi="华文中宋" w:eastAsia="华文中宋" w:cs="华文中宋"/>
          <w:szCs w:val="18"/>
          <w:lang w:val="en-US"/>
        </w:rPr>
        <w:fldChar w:fldCharType="separate"/>
      </w:r>
      <w:r>
        <w:rPr>
          <w:rFonts w:hint="eastAsia"/>
          <w:lang w:val="en-US"/>
        </w:rPr>
        <w:t xml:space="preserve">7.5.1. </w:t>
      </w:r>
      <w:r>
        <w:rPr>
          <w:rFonts w:hint="default"/>
          <w:lang w:val="en-US"/>
        </w:rPr>
        <w:t>森林防火“七个严禁”</w:t>
      </w:r>
      <w:r>
        <w:tab/>
      </w:r>
      <w:r>
        <w:fldChar w:fldCharType="begin"/>
      </w:r>
      <w:r>
        <w:instrText xml:space="preserve"> PAGEREF _Toc13668 \h </w:instrText>
      </w:r>
      <w:r>
        <w:fldChar w:fldCharType="separate"/>
      </w:r>
      <w:r>
        <w:t>179</w:t>
      </w:r>
      <w:r>
        <w:fldChar w:fldCharType="end"/>
      </w:r>
      <w:r>
        <w:rPr>
          <w:rFonts w:hint="eastAsia" w:ascii="华文中宋" w:hAnsi="华文中宋" w:eastAsia="华文中宋" w:cs="华文中宋"/>
          <w:szCs w:val="18"/>
          <w:lang w:val="en-US"/>
        </w:rPr>
        <w:fldChar w:fldCharType="end"/>
      </w:r>
    </w:p>
    <w:p w14:paraId="4197B17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_Toc7126 </w:instrText>
      </w:r>
      <w:r>
        <w:rPr>
          <w:rFonts w:hint="eastAsia" w:ascii="华文中宋" w:hAnsi="华文中宋" w:eastAsia="华文中宋" w:cs="华文中宋"/>
          <w:szCs w:val="18"/>
          <w:lang w:val="en-US"/>
        </w:rPr>
        <w:fldChar w:fldCharType="separate"/>
      </w:r>
      <w:r>
        <w:rPr>
          <w:rFonts w:hint="eastAsia"/>
          <w:lang w:val="en-US"/>
        </w:rPr>
        <w:t xml:space="preserve">7.5.2. </w:t>
      </w:r>
      <w:r>
        <w:rPr>
          <w:rFonts w:hint="default"/>
          <w:lang w:val="en-US"/>
        </w:rPr>
        <w:t>动火作业管理</w:t>
      </w:r>
      <w:r>
        <w:tab/>
      </w:r>
      <w:r>
        <w:fldChar w:fldCharType="begin"/>
      </w:r>
      <w:r>
        <w:instrText xml:space="preserve"> PAGEREF _Toc7126 \h </w:instrText>
      </w:r>
      <w:r>
        <w:fldChar w:fldCharType="separate"/>
      </w:r>
      <w:r>
        <w:t>180</w:t>
      </w:r>
      <w:r>
        <w:fldChar w:fldCharType="end"/>
      </w:r>
      <w:r>
        <w:rPr>
          <w:rFonts w:hint="eastAsia" w:ascii="华文中宋" w:hAnsi="华文中宋" w:eastAsia="华文中宋" w:cs="华文中宋"/>
          <w:szCs w:val="18"/>
          <w:lang w:val="en-US"/>
        </w:rPr>
        <w:fldChar w:fldCharType="end"/>
      </w:r>
    </w:p>
    <w:p w14:paraId="2F27F3D9">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_Toc29360 </w:instrText>
      </w:r>
      <w:r>
        <w:rPr>
          <w:rFonts w:hint="eastAsia" w:ascii="华文中宋" w:hAnsi="华文中宋" w:eastAsia="华文中宋" w:cs="华文中宋"/>
          <w:szCs w:val="18"/>
          <w:lang w:val="en-US"/>
        </w:rPr>
        <w:fldChar w:fldCharType="separate"/>
      </w:r>
      <w:r>
        <w:rPr>
          <w:rFonts w:hint="eastAsia"/>
          <w:lang w:val="en-US"/>
        </w:rPr>
        <w:t xml:space="preserve">7.5.3. </w:t>
      </w:r>
      <w:r>
        <w:rPr>
          <w:rFonts w:hint="default"/>
          <w:lang w:val="en-US"/>
        </w:rPr>
        <w:t>应急处置火情</w:t>
      </w:r>
      <w:r>
        <w:tab/>
      </w:r>
      <w:r>
        <w:fldChar w:fldCharType="begin"/>
      </w:r>
      <w:r>
        <w:instrText xml:space="preserve"> PAGEREF _Toc29360 \h </w:instrText>
      </w:r>
      <w:r>
        <w:fldChar w:fldCharType="separate"/>
      </w:r>
      <w:r>
        <w:t>180</w:t>
      </w:r>
      <w:r>
        <w:fldChar w:fldCharType="end"/>
      </w:r>
      <w:r>
        <w:rPr>
          <w:rFonts w:hint="eastAsia" w:ascii="华文中宋" w:hAnsi="华文中宋" w:eastAsia="华文中宋" w:cs="华文中宋"/>
          <w:szCs w:val="18"/>
          <w:lang w:val="en-US"/>
        </w:rPr>
        <w:fldChar w:fldCharType="end"/>
      </w:r>
    </w:p>
    <w:p w14:paraId="6A98E4C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_Toc3328 </w:instrText>
      </w:r>
      <w:r>
        <w:rPr>
          <w:rFonts w:hint="eastAsia" w:ascii="华文中宋" w:hAnsi="华文中宋" w:eastAsia="华文中宋" w:cs="华文中宋"/>
          <w:szCs w:val="18"/>
          <w:lang w:val="en-US"/>
        </w:rPr>
        <w:fldChar w:fldCharType="separate"/>
      </w:r>
      <w:r>
        <w:rPr>
          <w:rFonts w:hint="eastAsia"/>
          <w:lang w:val="en-US"/>
        </w:rPr>
        <w:t xml:space="preserve">7.5.4. </w:t>
      </w:r>
      <w:r>
        <w:rPr>
          <w:rFonts w:hint="default"/>
          <w:lang w:val="en-US"/>
        </w:rPr>
        <w:t>生态保护</w:t>
      </w:r>
      <w:r>
        <w:tab/>
      </w:r>
      <w:r>
        <w:fldChar w:fldCharType="begin"/>
      </w:r>
      <w:r>
        <w:instrText xml:space="preserve"> PAGEREF _Toc3328 \h </w:instrText>
      </w:r>
      <w:r>
        <w:fldChar w:fldCharType="separate"/>
      </w:r>
      <w:r>
        <w:t>181</w:t>
      </w:r>
      <w:r>
        <w:fldChar w:fldCharType="end"/>
      </w:r>
      <w:r>
        <w:rPr>
          <w:rFonts w:hint="eastAsia" w:ascii="华文中宋" w:hAnsi="华文中宋" w:eastAsia="华文中宋" w:cs="华文中宋"/>
          <w:szCs w:val="18"/>
          <w:lang w:val="en-US"/>
        </w:rPr>
        <w:fldChar w:fldCharType="end"/>
      </w:r>
    </w:p>
    <w:p w14:paraId="4872952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_Toc26917 </w:instrText>
      </w:r>
      <w:r>
        <w:rPr>
          <w:rFonts w:hint="eastAsia" w:ascii="华文中宋" w:hAnsi="华文中宋" w:eastAsia="华文中宋" w:cs="华文中宋"/>
          <w:szCs w:val="18"/>
          <w:lang w:val="en-US"/>
        </w:rPr>
        <w:fldChar w:fldCharType="separate"/>
      </w:r>
      <w:r>
        <w:rPr>
          <w:rFonts w:hint="eastAsia"/>
          <w:lang w:val="en-US"/>
        </w:rPr>
        <w:t xml:space="preserve">7.5.5. </w:t>
      </w:r>
      <w:r>
        <w:rPr>
          <w:rFonts w:hint="default"/>
          <w:lang w:val="en-US"/>
        </w:rPr>
        <w:t>其他保障措施</w:t>
      </w:r>
      <w:r>
        <w:tab/>
      </w:r>
      <w:r>
        <w:fldChar w:fldCharType="begin"/>
      </w:r>
      <w:r>
        <w:instrText xml:space="preserve"> PAGEREF _Toc26917 \h </w:instrText>
      </w:r>
      <w:r>
        <w:fldChar w:fldCharType="separate"/>
      </w:r>
      <w:r>
        <w:t>182</w:t>
      </w:r>
      <w:r>
        <w:fldChar w:fldCharType="end"/>
      </w:r>
      <w:r>
        <w:rPr>
          <w:rFonts w:hint="eastAsia" w:ascii="华文中宋" w:hAnsi="华文中宋" w:eastAsia="华文中宋" w:cs="华文中宋"/>
          <w:szCs w:val="18"/>
          <w:lang w:val="en-US"/>
        </w:rPr>
        <w:fldChar w:fldCharType="end"/>
      </w:r>
    </w:p>
    <w:p w14:paraId="740D9FD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_Toc31848 </w:instrText>
      </w:r>
      <w:r>
        <w:rPr>
          <w:rFonts w:hint="eastAsia" w:ascii="华文中宋" w:hAnsi="华文中宋" w:eastAsia="华文中宋" w:cs="华文中宋"/>
          <w:szCs w:val="18"/>
          <w:lang w:val="en-US"/>
        </w:rPr>
        <w:fldChar w:fldCharType="separate"/>
      </w:r>
      <w:r>
        <w:rPr>
          <w:rFonts w:hint="eastAsia"/>
          <w:lang w:val="en-US"/>
        </w:rPr>
        <w:t xml:space="preserve">7.6. </w:t>
      </w:r>
      <w:r>
        <w:rPr>
          <w:rFonts w:hint="default"/>
          <w:lang w:val="en-US"/>
        </w:rPr>
        <w:t>质量、安全、文明施工保障措施</w:t>
      </w:r>
      <w:r>
        <w:tab/>
      </w:r>
      <w:r>
        <w:fldChar w:fldCharType="begin"/>
      </w:r>
      <w:r>
        <w:instrText xml:space="preserve"> PAGEREF _Toc31848 \h </w:instrText>
      </w:r>
      <w:r>
        <w:fldChar w:fldCharType="separate"/>
      </w:r>
      <w:r>
        <w:t>182</w:t>
      </w:r>
      <w:r>
        <w:fldChar w:fldCharType="end"/>
      </w:r>
      <w:r>
        <w:rPr>
          <w:rFonts w:hint="eastAsia" w:ascii="华文中宋" w:hAnsi="华文中宋" w:eastAsia="华文中宋" w:cs="华文中宋"/>
          <w:szCs w:val="18"/>
          <w:lang w:val="en-US"/>
        </w:rPr>
        <w:fldChar w:fldCharType="end"/>
      </w:r>
    </w:p>
    <w:p w14:paraId="354A1E2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_Toc4288 </w:instrText>
      </w:r>
      <w:r>
        <w:rPr>
          <w:rFonts w:hint="eastAsia" w:ascii="华文中宋" w:hAnsi="华文中宋" w:eastAsia="华文中宋" w:cs="华文中宋"/>
          <w:szCs w:val="18"/>
          <w:lang w:val="en-US"/>
        </w:rPr>
        <w:fldChar w:fldCharType="separate"/>
      </w:r>
      <w:r>
        <w:rPr>
          <w:rFonts w:hint="eastAsia"/>
          <w:lang w:val="en-US"/>
        </w:rPr>
        <w:t xml:space="preserve">7.6.1. </w:t>
      </w:r>
      <w:r>
        <w:rPr>
          <w:rFonts w:hint="default"/>
          <w:lang w:val="en-US"/>
        </w:rPr>
        <w:t>总体概述</w:t>
      </w:r>
      <w:r>
        <w:tab/>
      </w:r>
      <w:r>
        <w:fldChar w:fldCharType="begin"/>
      </w:r>
      <w:r>
        <w:instrText xml:space="preserve"> PAGEREF _Toc4288 \h </w:instrText>
      </w:r>
      <w:r>
        <w:fldChar w:fldCharType="separate"/>
      </w:r>
      <w:r>
        <w:t>182</w:t>
      </w:r>
      <w:r>
        <w:fldChar w:fldCharType="end"/>
      </w:r>
      <w:r>
        <w:rPr>
          <w:rFonts w:hint="eastAsia" w:ascii="华文中宋" w:hAnsi="华文中宋" w:eastAsia="华文中宋" w:cs="华文中宋"/>
          <w:szCs w:val="18"/>
          <w:lang w:val="en-US"/>
        </w:rPr>
        <w:fldChar w:fldCharType="end"/>
      </w:r>
    </w:p>
    <w:p w14:paraId="0D91262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_Toc22979 </w:instrText>
      </w:r>
      <w:r>
        <w:rPr>
          <w:rFonts w:hint="eastAsia" w:ascii="华文中宋" w:hAnsi="华文中宋" w:eastAsia="华文中宋" w:cs="华文中宋"/>
          <w:szCs w:val="18"/>
          <w:lang w:val="en-US"/>
        </w:rPr>
        <w:fldChar w:fldCharType="separate"/>
      </w:r>
      <w:r>
        <w:rPr>
          <w:rFonts w:hint="eastAsia"/>
          <w:lang w:val="en-US" w:eastAsia="zh-CN"/>
        </w:rPr>
        <w:t>7.6.2. 质量保障措施</w:t>
      </w:r>
      <w:r>
        <w:tab/>
      </w:r>
      <w:r>
        <w:fldChar w:fldCharType="begin"/>
      </w:r>
      <w:r>
        <w:instrText xml:space="preserve"> PAGEREF _Toc22979 \h </w:instrText>
      </w:r>
      <w:r>
        <w:fldChar w:fldCharType="separate"/>
      </w:r>
      <w:r>
        <w:t>183</w:t>
      </w:r>
      <w:r>
        <w:fldChar w:fldCharType="end"/>
      </w:r>
      <w:r>
        <w:rPr>
          <w:rFonts w:hint="eastAsia" w:ascii="华文中宋" w:hAnsi="华文中宋" w:eastAsia="华文中宋" w:cs="华文中宋"/>
          <w:szCs w:val="18"/>
          <w:lang w:val="en-US"/>
        </w:rPr>
        <w:fldChar w:fldCharType="end"/>
      </w:r>
    </w:p>
    <w:p w14:paraId="7A1BFB6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_Toc23366 </w:instrText>
      </w:r>
      <w:r>
        <w:rPr>
          <w:rFonts w:hint="eastAsia" w:ascii="华文中宋" w:hAnsi="华文中宋" w:eastAsia="华文中宋" w:cs="华文中宋"/>
          <w:szCs w:val="18"/>
          <w:lang w:val="en-US"/>
        </w:rPr>
        <w:fldChar w:fldCharType="separate"/>
      </w:r>
      <w:r>
        <w:rPr>
          <w:rFonts w:hint="eastAsia"/>
          <w:lang w:val="en-US" w:eastAsia="zh-CN"/>
        </w:rPr>
        <w:t xml:space="preserve">7.6.3. </w:t>
      </w:r>
      <w:r>
        <w:rPr>
          <w:rFonts w:hint="default"/>
          <w:lang w:val="en-US" w:eastAsia="zh-CN"/>
        </w:rPr>
        <w:t>安全保障措施</w:t>
      </w:r>
      <w:r>
        <w:tab/>
      </w:r>
      <w:r>
        <w:fldChar w:fldCharType="begin"/>
      </w:r>
      <w:r>
        <w:instrText xml:space="preserve"> PAGEREF _Toc23366 \h </w:instrText>
      </w:r>
      <w:r>
        <w:fldChar w:fldCharType="separate"/>
      </w:r>
      <w:r>
        <w:t>184</w:t>
      </w:r>
      <w:r>
        <w:fldChar w:fldCharType="end"/>
      </w:r>
      <w:r>
        <w:rPr>
          <w:rFonts w:hint="eastAsia" w:ascii="华文中宋" w:hAnsi="华文中宋" w:eastAsia="华文中宋" w:cs="华文中宋"/>
          <w:szCs w:val="18"/>
          <w:lang w:val="en-US"/>
        </w:rPr>
        <w:fldChar w:fldCharType="end"/>
      </w:r>
    </w:p>
    <w:p w14:paraId="391D6A2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_Toc13575 </w:instrText>
      </w:r>
      <w:r>
        <w:rPr>
          <w:rFonts w:hint="eastAsia" w:ascii="华文中宋" w:hAnsi="华文中宋" w:eastAsia="华文中宋" w:cs="华文中宋"/>
          <w:szCs w:val="18"/>
          <w:lang w:val="en-US"/>
        </w:rPr>
        <w:fldChar w:fldCharType="separate"/>
      </w:r>
      <w:r>
        <w:rPr>
          <w:rFonts w:hint="eastAsia"/>
          <w:lang w:val="en-US"/>
        </w:rPr>
        <w:t xml:space="preserve">7.6.4. </w:t>
      </w:r>
      <w:r>
        <w:rPr>
          <w:rFonts w:hint="default"/>
          <w:lang w:val="en-US"/>
        </w:rPr>
        <w:t>文明施工保障措施</w:t>
      </w:r>
      <w:r>
        <w:tab/>
      </w:r>
      <w:r>
        <w:fldChar w:fldCharType="begin"/>
      </w:r>
      <w:r>
        <w:instrText xml:space="preserve"> PAGEREF _Toc13575 \h </w:instrText>
      </w:r>
      <w:r>
        <w:fldChar w:fldCharType="separate"/>
      </w:r>
      <w:r>
        <w:t>187</w:t>
      </w:r>
      <w:r>
        <w:fldChar w:fldCharType="end"/>
      </w:r>
      <w:r>
        <w:rPr>
          <w:rFonts w:hint="eastAsia" w:ascii="华文中宋" w:hAnsi="华文中宋" w:eastAsia="华文中宋" w:cs="华文中宋"/>
          <w:szCs w:val="18"/>
          <w:lang w:val="en-US"/>
        </w:rPr>
        <w:fldChar w:fldCharType="end"/>
      </w:r>
    </w:p>
    <w:p w14:paraId="5C4A7C36">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_Toc28948 </w:instrText>
      </w:r>
      <w:r>
        <w:rPr>
          <w:rFonts w:hint="eastAsia" w:ascii="华文中宋" w:hAnsi="华文中宋" w:eastAsia="华文中宋" w:cs="华文中宋"/>
          <w:szCs w:val="18"/>
          <w:lang w:val="en-US"/>
        </w:rPr>
        <w:fldChar w:fldCharType="separate"/>
      </w:r>
      <w:r>
        <w:rPr>
          <w:rFonts w:hint="eastAsia"/>
          <w:lang w:val="en-US"/>
        </w:rPr>
        <w:t>第八章 项目管理</w:t>
      </w:r>
      <w:r>
        <w:tab/>
      </w:r>
      <w:r>
        <w:fldChar w:fldCharType="begin"/>
      </w:r>
      <w:r>
        <w:instrText xml:space="preserve"> PAGEREF _Toc28948 \h </w:instrText>
      </w:r>
      <w:r>
        <w:fldChar w:fldCharType="separate"/>
      </w:r>
      <w:r>
        <w:t>190</w:t>
      </w:r>
      <w:r>
        <w:fldChar w:fldCharType="end"/>
      </w:r>
      <w:r>
        <w:rPr>
          <w:rFonts w:hint="eastAsia" w:ascii="华文中宋" w:hAnsi="华文中宋" w:eastAsia="华文中宋" w:cs="华文中宋"/>
          <w:szCs w:val="18"/>
          <w:lang w:val="en-US"/>
        </w:rPr>
        <w:fldChar w:fldCharType="end"/>
      </w:r>
    </w:p>
    <w:p w14:paraId="4529826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_Toc29811 </w:instrText>
      </w:r>
      <w:r>
        <w:rPr>
          <w:rFonts w:hint="eastAsia" w:ascii="华文中宋" w:hAnsi="华文中宋" w:eastAsia="华文中宋" w:cs="华文中宋"/>
          <w:szCs w:val="18"/>
          <w:lang w:val="en-US"/>
        </w:rPr>
        <w:fldChar w:fldCharType="separate"/>
      </w:r>
      <w:r>
        <w:rPr>
          <w:rFonts w:hint="eastAsia"/>
          <w:lang w:val="en-US"/>
        </w:rPr>
        <w:t>8.1. 项目组织机构和人员</w:t>
      </w:r>
      <w:r>
        <w:tab/>
      </w:r>
      <w:r>
        <w:fldChar w:fldCharType="begin"/>
      </w:r>
      <w:r>
        <w:instrText xml:space="preserve"> PAGEREF _Toc29811 \h </w:instrText>
      </w:r>
      <w:r>
        <w:fldChar w:fldCharType="separate"/>
      </w:r>
      <w:r>
        <w:t>190</w:t>
      </w:r>
      <w:r>
        <w:fldChar w:fldCharType="end"/>
      </w:r>
      <w:r>
        <w:rPr>
          <w:rFonts w:hint="eastAsia" w:ascii="华文中宋" w:hAnsi="华文中宋" w:eastAsia="华文中宋" w:cs="华文中宋"/>
          <w:szCs w:val="18"/>
          <w:lang w:val="en-US"/>
        </w:rPr>
        <w:fldChar w:fldCharType="end"/>
      </w:r>
    </w:p>
    <w:p w14:paraId="5DD38331">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_Toc18805 </w:instrText>
      </w:r>
      <w:r>
        <w:rPr>
          <w:rFonts w:hint="eastAsia" w:ascii="华文中宋" w:hAnsi="华文中宋" w:eastAsia="华文中宋" w:cs="华文中宋"/>
          <w:szCs w:val="18"/>
          <w:lang w:val="en-US"/>
        </w:rPr>
        <w:fldChar w:fldCharType="separate"/>
      </w:r>
      <w:r>
        <w:rPr>
          <w:rFonts w:hint="eastAsia"/>
        </w:rPr>
        <w:t>8.2. 项目领导、实施和运维机构及组织管理</w:t>
      </w:r>
      <w:r>
        <w:tab/>
      </w:r>
      <w:r>
        <w:fldChar w:fldCharType="begin"/>
      </w:r>
      <w:r>
        <w:instrText xml:space="preserve"> PAGEREF _Toc18805 \h </w:instrText>
      </w:r>
      <w:r>
        <w:fldChar w:fldCharType="separate"/>
      </w:r>
      <w:r>
        <w:t>190</w:t>
      </w:r>
      <w:r>
        <w:fldChar w:fldCharType="end"/>
      </w:r>
      <w:r>
        <w:rPr>
          <w:rFonts w:hint="eastAsia" w:ascii="华文中宋" w:hAnsi="华文中宋" w:eastAsia="华文中宋" w:cs="华文中宋"/>
          <w:szCs w:val="18"/>
          <w:lang w:val="en-US"/>
        </w:rPr>
        <w:fldChar w:fldCharType="end"/>
      </w:r>
    </w:p>
    <w:p w14:paraId="4864373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_Toc23553 </w:instrText>
      </w:r>
      <w:r>
        <w:rPr>
          <w:rFonts w:hint="eastAsia" w:ascii="华文中宋" w:hAnsi="华文中宋" w:eastAsia="华文中宋" w:cs="华文中宋"/>
          <w:szCs w:val="18"/>
          <w:lang w:val="en-US"/>
        </w:rPr>
        <w:fldChar w:fldCharType="separate"/>
      </w:r>
      <w:r>
        <w:rPr>
          <w:rFonts w:hint="eastAsia"/>
        </w:rPr>
        <w:t>8.2.1. 项目领导</w:t>
      </w:r>
      <w:r>
        <w:tab/>
      </w:r>
      <w:r>
        <w:fldChar w:fldCharType="begin"/>
      </w:r>
      <w:r>
        <w:instrText xml:space="preserve"> PAGEREF _Toc23553 \h </w:instrText>
      </w:r>
      <w:r>
        <w:fldChar w:fldCharType="separate"/>
      </w:r>
      <w:r>
        <w:t>190</w:t>
      </w:r>
      <w:r>
        <w:fldChar w:fldCharType="end"/>
      </w:r>
      <w:r>
        <w:rPr>
          <w:rFonts w:hint="eastAsia" w:ascii="华文中宋" w:hAnsi="华文中宋" w:eastAsia="华文中宋" w:cs="华文中宋"/>
          <w:szCs w:val="18"/>
          <w:lang w:val="en-US"/>
        </w:rPr>
        <w:fldChar w:fldCharType="end"/>
      </w:r>
    </w:p>
    <w:p w14:paraId="54E4C0F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_Toc8916 </w:instrText>
      </w:r>
      <w:r>
        <w:rPr>
          <w:rFonts w:hint="eastAsia" w:ascii="华文中宋" w:hAnsi="华文中宋" w:eastAsia="华文中宋" w:cs="华文中宋"/>
          <w:szCs w:val="18"/>
          <w:lang w:val="en-US"/>
        </w:rPr>
        <w:fldChar w:fldCharType="separate"/>
      </w:r>
      <w:r>
        <w:rPr>
          <w:rFonts w:hint="eastAsia"/>
        </w:rPr>
        <w:t>8.2.2. 实施</w:t>
      </w:r>
      <w:r>
        <w:rPr>
          <w:rFonts w:hint="eastAsia"/>
          <w:lang w:val="en-US"/>
        </w:rPr>
        <w:t>机构</w:t>
      </w:r>
      <w:r>
        <w:tab/>
      </w:r>
      <w:r>
        <w:fldChar w:fldCharType="begin"/>
      </w:r>
      <w:r>
        <w:instrText xml:space="preserve"> PAGEREF _Toc8916 \h </w:instrText>
      </w:r>
      <w:r>
        <w:fldChar w:fldCharType="separate"/>
      </w:r>
      <w:r>
        <w:t>191</w:t>
      </w:r>
      <w:r>
        <w:fldChar w:fldCharType="end"/>
      </w:r>
      <w:r>
        <w:rPr>
          <w:rFonts w:hint="eastAsia" w:ascii="华文中宋" w:hAnsi="华文中宋" w:eastAsia="华文中宋" w:cs="华文中宋"/>
          <w:szCs w:val="18"/>
          <w:lang w:val="en-US"/>
        </w:rPr>
        <w:fldChar w:fldCharType="end"/>
      </w:r>
    </w:p>
    <w:p w14:paraId="0FF32893">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_Toc31079 </w:instrText>
      </w:r>
      <w:r>
        <w:rPr>
          <w:rFonts w:hint="eastAsia" w:ascii="华文中宋" w:hAnsi="华文中宋" w:eastAsia="华文中宋" w:cs="华文中宋"/>
          <w:szCs w:val="18"/>
          <w:lang w:val="en-US"/>
        </w:rPr>
        <w:fldChar w:fldCharType="separate"/>
      </w:r>
      <w:r>
        <w:rPr>
          <w:rFonts w:hint="eastAsia"/>
        </w:rPr>
        <w:t>8.2.3. 运维机构</w:t>
      </w:r>
      <w:r>
        <w:tab/>
      </w:r>
      <w:r>
        <w:fldChar w:fldCharType="begin"/>
      </w:r>
      <w:r>
        <w:instrText xml:space="preserve"> PAGEREF _Toc31079 \h </w:instrText>
      </w:r>
      <w:r>
        <w:fldChar w:fldCharType="separate"/>
      </w:r>
      <w:r>
        <w:t>191</w:t>
      </w:r>
      <w:r>
        <w:fldChar w:fldCharType="end"/>
      </w:r>
      <w:r>
        <w:rPr>
          <w:rFonts w:hint="eastAsia" w:ascii="华文中宋" w:hAnsi="华文中宋" w:eastAsia="华文中宋" w:cs="华文中宋"/>
          <w:szCs w:val="18"/>
          <w:lang w:val="en-US"/>
        </w:rPr>
        <w:fldChar w:fldCharType="end"/>
      </w:r>
    </w:p>
    <w:p w14:paraId="660030ED">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_Toc16698 </w:instrText>
      </w:r>
      <w:r>
        <w:rPr>
          <w:rFonts w:hint="eastAsia" w:ascii="华文中宋" w:hAnsi="华文中宋" w:eastAsia="华文中宋" w:cs="华文中宋"/>
          <w:szCs w:val="18"/>
          <w:lang w:val="en-US"/>
        </w:rPr>
        <w:fldChar w:fldCharType="separate"/>
      </w:r>
      <w:r>
        <w:rPr>
          <w:rFonts w:hint="eastAsia"/>
        </w:rPr>
        <w:t>8.3. 人员配置</w:t>
      </w:r>
      <w:r>
        <w:tab/>
      </w:r>
      <w:r>
        <w:fldChar w:fldCharType="begin"/>
      </w:r>
      <w:r>
        <w:instrText xml:space="preserve"> PAGEREF _Toc16698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7D5D1C6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_Toc24841 </w:instrText>
      </w:r>
      <w:r>
        <w:rPr>
          <w:rFonts w:hint="eastAsia" w:ascii="华文中宋" w:hAnsi="华文中宋" w:eastAsia="华文中宋" w:cs="华文中宋"/>
          <w:szCs w:val="18"/>
          <w:lang w:val="en-US"/>
        </w:rPr>
        <w:fldChar w:fldCharType="separate"/>
      </w:r>
      <w:r>
        <w:rPr>
          <w:rFonts w:hint="eastAsia"/>
        </w:rPr>
        <w:t>8.3.1. 项目建设技术人员配置</w:t>
      </w:r>
      <w:r>
        <w:tab/>
      </w:r>
      <w:r>
        <w:fldChar w:fldCharType="begin"/>
      </w:r>
      <w:r>
        <w:instrText xml:space="preserve"> PAGEREF _Toc24841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22CF757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_Toc19960 </w:instrText>
      </w:r>
      <w:r>
        <w:rPr>
          <w:rFonts w:hint="eastAsia" w:ascii="华文中宋" w:hAnsi="华文中宋" w:eastAsia="华文中宋" w:cs="华文中宋"/>
          <w:szCs w:val="18"/>
          <w:lang w:val="en-US"/>
        </w:rPr>
        <w:fldChar w:fldCharType="separate"/>
      </w:r>
      <w:r>
        <w:rPr>
          <w:rFonts w:hint="eastAsia"/>
        </w:rPr>
        <w:t>8.3.2. 日常运营维护的技术人员</w:t>
      </w:r>
      <w:r>
        <w:tab/>
      </w:r>
      <w:r>
        <w:fldChar w:fldCharType="begin"/>
      </w:r>
      <w:r>
        <w:instrText xml:space="preserve"> PAGEREF _Toc19960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00631CA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_Toc19336 </w:instrText>
      </w:r>
      <w:r>
        <w:rPr>
          <w:rFonts w:hint="eastAsia" w:ascii="华文中宋" w:hAnsi="华文中宋" w:eastAsia="华文中宋" w:cs="华文中宋"/>
          <w:szCs w:val="18"/>
          <w:lang w:val="en-US"/>
        </w:rPr>
        <w:fldChar w:fldCharType="separate"/>
      </w:r>
      <w:r>
        <w:rPr>
          <w:rFonts w:hint="eastAsia"/>
        </w:rPr>
        <w:t>8.3.3. 用户单位工作人员</w:t>
      </w:r>
      <w:r>
        <w:tab/>
      </w:r>
      <w:r>
        <w:fldChar w:fldCharType="begin"/>
      </w:r>
      <w:r>
        <w:instrText xml:space="preserve"> PAGEREF _Toc19336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2EC538F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_Toc18802 </w:instrText>
      </w:r>
      <w:r>
        <w:rPr>
          <w:rFonts w:hint="eastAsia" w:ascii="华文中宋" w:hAnsi="华文中宋" w:eastAsia="华文中宋" w:cs="华文中宋"/>
          <w:szCs w:val="18"/>
          <w:lang w:val="en-US"/>
        </w:rPr>
        <w:fldChar w:fldCharType="separate"/>
      </w:r>
      <w:r>
        <w:rPr>
          <w:rFonts w:hint="eastAsia"/>
          <w:lang w:val="en-US"/>
        </w:rPr>
        <w:t>8.4. 项目实施进度</w:t>
      </w:r>
      <w:r>
        <w:tab/>
      </w:r>
      <w:r>
        <w:fldChar w:fldCharType="begin"/>
      </w:r>
      <w:r>
        <w:instrText xml:space="preserve"> PAGEREF _Toc18802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1F02786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_Toc24794 </w:instrText>
      </w:r>
      <w:r>
        <w:rPr>
          <w:rFonts w:hint="eastAsia" w:ascii="华文中宋" w:hAnsi="华文中宋" w:eastAsia="华文中宋" w:cs="华文中宋"/>
          <w:szCs w:val="18"/>
          <w:lang w:val="en-US"/>
        </w:rPr>
        <w:fldChar w:fldCharType="separate"/>
      </w:r>
      <w:r>
        <w:rPr>
          <w:rFonts w:hint="eastAsia"/>
        </w:rPr>
        <w:t>8.4.1. 项目建设期</w:t>
      </w:r>
      <w:r>
        <w:tab/>
      </w:r>
      <w:r>
        <w:fldChar w:fldCharType="begin"/>
      </w:r>
      <w:r>
        <w:instrText xml:space="preserve"> PAGEREF _Toc24794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3C3F7B61">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_Toc18526 </w:instrText>
      </w:r>
      <w:r>
        <w:rPr>
          <w:rFonts w:hint="eastAsia" w:ascii="华文中宋" w:hAnsi="华文中宋" w:eastAsia="华文中宋" w:cs="华文中宋"/>
          <w:szCs w:val="18"/>
          <w:lang w:val="en-US"/>
        </w:rPr>
        <w:fldChar w:fldCharType="separate"/>
      </w:r>
      <w:r>
        <w:rPr>
          <w:rFonts w:hint="eastAsia"/>
          <w:lang w:val="en-US" w:eastAsia="zh-CN"/>
        </w:rPr>
        <w:t xml:space="preserve">8.4.2. </w:t>
      </w:r>
      <w:r>
        <w:rPr>
          <w:rFonts w:hint="eastAsia"/>
          <w:highlight w:val="none"/>
          <w:lang w:val="en-US" w:eastAsia="zh-CN"/>
        </w:rPr>
        <w:t>实施进度</w:t>
      </w:r>
      <w:r>
        <w:tab/>
      </w:r>
      <w:r>
        <w:fldChar w:fldCharType="begin"/>
      </w:r>
      <w:r>
        <w:instrText xml:space="preserve"> PAGEREF _Toc18526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766B3C18">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_Toc9485 </w:instrText>
      </w:r>
      <w:r>
        <w:rPr>
          <w:rFonts w:hint="eastAsia" w:ascii="华文中宋" w:hAnsi="华文中宋" w:eastAsia="华文中宋" w:cs="华文中宋"/>
          <w:szCs w:val="18"/>
          <w:lang w:val="en-US"/>
        </w:rPr>
        <w:fldChar w:fldCharType="separate"/>
      </w:r>
      <w:r>
        <w:rPr>
          <w:rFonts w:hint="eastAsia"/>
        </w:rPr>
        <w:t>8.4.3. 实施进度计划</w:t>
      </w:r>
      <w:r>
        <w:tab/>
      </w:r>
      <w:r>
        <w:fldChar w:fldCharType="begin"/>
      </w:r>
      <w:r>
        <w:instrText xml:space="preserve"> PAGEREF _Toc9485 \h </w:instrText>
      </w:r>
      <w:r>
        <w:fldChar w:fldCharType="separate"/>
      </w:r>
      <w:r>
        <w:t>192</w:t>
      </w:r>
      <w:r>
        <w:fldChar w:fldCharType="end"/>
      </w:r>
      <w:r>
        <w:rPr>
          <w:rFonts w:hint="eastAsia" w:ascii="华文中宋" w:hAnsi="华文中宋" w:eastAsia="华文中宋" w:cs="华文中宋"/>
          <w:szCs w:val="18"/>
          <w:lang w:val="en-US"/>
        </w:rPr>
        <w:fldChar w:fldCharType="end"/>
      </w:r>
    </w:p>
    <w:p w14:paraId="51AAEC25">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_Toc16382 </w:instrText>
      </w:r>
      <w:r>
        <w:rPr>
          <w:rFonts w:hint="eastAsia" w:ascii="华文中宋" w:hAnsi="华文中宋" w:eastAsia="华文中宋" w:cs="华文中宋"/>
          <w:szCs w:val="18"/>
          <w:lang w:val="en-US"/>
        </w:rPr>
        <w:fldChar w:fldCharType="separate"/>
      </w:r>
      <w:r>
        <w:rPr>
          <w:rFonts w:hint="eastAsia"/>
          <w:lang w:val="en-US"/>
        </w:rPr>
        <w:t>8.5. 人员培训需求和计划</w:t>
      </w:r>
      <w:r>
        <w:tab/>
      </w:r>
      <w:r>
        <w:fldChar w:fldCharType="begin"/>
      </w:r>
      <w:r>
        <w:instrText xml:space="preserve"> PAGEREF _Toc16382 \h </w:instrText>
      </w:r>
      <w:r>
        <w:fldChar w:fldCharType="separate"/>
      </w:r>
      <w:r>
        <w:t>193</w:t>
      </w:r>
      <w:r>
        <w:fldChar w:fldCharType="end"/>
      </w:r>
      <w:r>
        <w:rPr>
          <w:rFonts w:hint="eastAsia" w:ascii="华文中宋" w:hAnsi="华文中宋" w:eastAsia="华文中宋" w:cs="华文中宋"/>
          <w:szCs w:val="18"/>
          <w:lang w:val="en-US"/>
        </w:rPr>
        <w:fldChar w:fldCharType="end"/>
      </w:r>
    </w:p>
    <w:p w14:paraId="3DF1EC2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_Toc23581 </w:instrText>
      </w:r>
      <w:r>
        <w:rPr>
          <w:rFonts w:hint="eastAsia" w:ascii="华文中宋" w:hAnsi="华文中宋" w:eastAsia="华文中宋" w:cs="华文中宋"/>
          <w:szCs w:val="18"/>
          <w:lang w:val="en-US"/>
        </w:rPr>
        <w:fldChar w:fldCharType="separate"/>
      </w:r>
      <w:r>
        <w:rPr>
          <w:rFonts w:hint="eastAsia"/>
        </w:rPr>
        <w:t xml:space="preserve">8.5.1. </w:t>
      </w:r>
      <w:r>
        <w:t>培训目的</w:t>
      </w:r>
      <w:r>
        <w:tab/>
      </w:r>
      <w:r>
        <w:fldChar w:fldCharType="begin"/>
      </w:r>
      <w:r>
        <w:instrText xml:space="preserve"> PAGEREF _Toc23581 \h </w:instrText>
      </w:r>
      <w:r>
        <w:fldChar w:fldCharType="separate"/>
      </w:r>
      <w:r>
        <w:t>193</w:t>
      </w:r>
      <w:r>
        <w:fldChar w:fldCharType="end"/>
      </w:r>
      <w:r>
        <w:rPr>
          <w:rFonts w:hint="eastAsia" w:ascii="华文中宋" w:hAnsi="华文中宋" w:eastAsia="华文中宋" w:cs="华文中宋"/>
          <w:szCs w:val="18"/>
          <w:lang w:val="en-US"/>
        </w:rPr>
        <w:fldChar w:fldCharType="end"/>
      </w:r>
    </w:p>
    <w:p w14:paraId="1AE59DE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_Toc281 </w:instrText>
      </w:r>
      <w:r>
        <w:rPr>
          <w:rFonts w:hint="eastAsia" w:ascii="华文中宋" w:hAnsi="华文中宋" w:eastAsia="华文中宋" w:cs="华文中宋"/>
          <w:szCs w:val="18"/>
          <w:lang w:val="en-US"/>
        </w:rPr>
        <w:fldChar w:fldCharType="separate"/>
      </w:r>
      <w:r>
        <w:rPr>
          <w:rFonts w:hint="eastAsia"/>
        </w:rPr>
        <w:t xml:space="preserve">8.5.2. </w:t>
      </w:r>
      <w:r>
        <w:t>培训对象</w:t>
      </w:r>
      <w:r>
        <w:tab/>
      </w:r>
      <w:r>
        <w:fldChar w:fldCharType="begin"/>
      </w:r>
      <w:r>
        <w:instrText xml:space="preserve"> PAGEREF _Toc281 \h </w:instrText>
      </w:r>
      <w:r>
        <w:fldChar w:fldCharType="separate"/>
      </w:r>
      <w:r>
        <w:t>193</w:t>
      </w:r>
      <w:r>
        <w:fldChar w:fldCharType="end"/>
      </w:r>
      <w:r>
        <w:rPr>
          <w:rFonts w:hint="eastAsia" w:ascii="华文中宋" w:hAnsi="华文中宋" w:eastAsia="华文中宋" w:cs="华文中宋"/>
          <w:szCs w:val="18"/>
          <w:lang w:val="en-US"/>
        </w:rPr>
        <w:fldChar w:fldCharType="end"/>
      </w:r>
    </w:p>
    <w:p w14:paraId="01C6CE5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_Toc9609 </w:instrText>
      </w:r>
      <w:r>
        <w:rPr>
          <w:rFonts w:hint="eastAsia" w:ascii="华文中宋" w:hAnsi="华文中宋" w:eastAsia="华文中宋" w:cs="华文中宋"/>
          <w:szCs w:val="18"/>
          <w:lang w:val="en-US"/>
        </w:rPr>
        <w:fldChar w:fldCharType="separate"/>
      </w:r>
      <w:r>
        <w:rPr>
          <w:rFonts w:hint="eastAsia"/>
          <w:lang w:val="en-US" w:eastAsia="zh-CN"/>
        </w:rPr>
        <w:t xml:space="preserve">8.5.3. </w:t>
      </w:r>
      <w:r>
        <w:rPr>
          <w:rFonts w:hint="eastAsia"/>
          <w:highlight w:val="none"/>
          <w:lang w:val="en-US" w:eastAsia="zh-CN"/>
        </w:rPr>
        <w:t>培训内容</w:t>
      </w:r>
      <w:r>
        <w:tab/>
      </w:r>
      <w:r>
        <w:fldChar w:fldCharType="begin"/>
      </w:r>
      <w:r>
        <w:instrText xml:space="preserve"> PAGEREF _Toc9609 \h </w:instrText>
      </w:r>
      <w:r>
        <w:fldChar w:fldCharType="separate"/>
      </w:r>
      <w:r>
        <w:t>193</w:t>
      </w:r>
      <w:r>
        <w:fldChar w:fldCharType="end"/>
      </w:r>
      <w:r>
        <w:rPr>
          <w:rFonts w:hint="eastAsia" w:ascii="华文中宋" w:hAnsi="华文中宋" w:eastAsia="华文中宋" w:cs="华文中宋"/>
          <w:szCs w:val="18"/>
          <w:lang w:val="en-US"/>
        </w:rPr>
        <w:fldChar w:fldCharType="end"/>
      </w:r>
    </w:p>
    <w:p w14:paraId="2ECBD16C">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_Toc16316 </w:instrText>
      </w:r>
      <w:r>
        <w:rPr>
          <w:rFonts w:hint="eastAsia" w:ascii="华文中宋" w:hAnsi="华文中宋" w:eastAsia="华文中宋" w:cs="华文中宋"/>
          <w:szCs w:val="18"/>
          <w:lang w:val="en-US"/>
        </w:rPr>
        <w:fldChar w:fldCharType="separate"/>
      </w:r>
      <w:r>
        <w:rPr>
          <w:rFonts w:hint="eastAsia"/>
        </w:rPr>
        <w:t xml:space="preserve">8.5.4. </w:t>
      </w:r>
      <w:r>
        <w:t>培训</w:t>
      </w:r>
      <w:r>
        <w:rPr>
          <w:rFonts w:hint="eastAsia"/>
        </w:rPr>
        <w:t>方式</w:t>
      </w:r>
      <w:r>
        <w:tab/>
      </w:r>
      <w:r>
        <w:fldChar w:fldCharType="begin"/>
      </w:r>
      <w:r>
        <w:instrText xml:space="preserve"> PAGEREF _Toc16316 \h </w:instrText>
      </w:r>
      <w:r>
        <w:fldChar w:fldCharType="separate"/>
      </w:r>
      <w:r>
        <w:t>194</w:t>
      </w:r>
      <w:r>
        <w:fldChar w:fldCharType="end"/>
      </w:r>
      <w:r>
        <w:rPr>
          <w:rFonts w:hint="eastAsia" w:ascii="华文中宋" w:hAnsi="华文中宋" w:eastAsia="华文中宋" w:cs="华文中宋"/>
          <w:szCs w:val="18"/>
          <w:lang w:val="en-US"/>
        </w:rPr>
        <w:fldChar w:fldCharType="end"/>
      </w:r>
    </w:p>
    <w:p w14:paraId="2A7D1FFA">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_Toc21901 </w:instrText>
      </w:r>
      <w:r>
        <w:rPr>
          <w:rFonts w:hint="eastAsia" w:ascii="华文中宋" w:hAnsi="华文中宋" w:eastAsia="华文中宋" w:cs="华文中宋"/>
          <w:szCs w:val="18"/>
          <w:lang w:val="en-US"/>
        </w:rPr>
        <w:fldChar w:fldCharType="separate"/>
      </w:r>
      <w:r>
        <w:rPr>
          <w:rFonts w:hint="eastAsia"/>
        </w:rPr>
        <w:t xml:space="preserve">8.5.5. </w:t>
      </w:r>
      <w:r>
        <w:t>培训计划安排</w:t>
      </w:r>
      <w:r>
        <w:tab/>
      </w:r>
      <w:r>
        <w:fldChar w:fldCharType="begin"/>
      </w:r>
      <w:r>
        <w:instrText xml:space="preserve"> PAGEREF _Toc21901 \h </w:instrText>
      </w:r>
      <w:r>
        <w:fldChar w:fldCharType="separate"/>
      </w:r>
      <w:r>
        <w:t>194</w:t>
      </w:r>
      <w:r>
        <w:fldChar w:fldCharType="end"/>
      </w:r>
      <w:r>
        <w:rPr>
          <w:rFonts w:hint="eastAsia" w:ascii="华文中宋" w:hAnsi="华文中宋" w:eastAsia="华文中宋" w:cs="华文中宋"/>
          <w:szCs w:val="18"/>
          <w:lang w:val="en-US"/>
        </w:rPr>
        <w:fldChar w:fldCharType="end"/>
      </w:r>
    </w:p>
    <w:p w14:paraId="5CA1E4A0">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_Toc13837 </w:instrText>
      </w:r>
      <w:r>
        <w:rPr>
          <w:rFonts w:hint="eastAsia" w:ascii="华文中宋" w:hAnsi="华文中宋" w:eastAsia="华文中宋" w:cs="华文中宋"/>
          <w:szCs w:val="18"/>
          <w:lang w:val="en-US"/>
        </w:rPr>
        <w:fldChar w:fldCharType="separate"/>
      </w:r>
      <w:r>
        <w:rPr>
          <w:rFonts w:hint="eastAsia"/>
          <w:lang w:val="en-US"/>
        </w:rPr>
        <w:t>8.6. 项目质量保障</w:t>
      </w:r>
      <w:r>
        <w:tab/>
      </w:r>
      <w:r>
        <w:fldChar w:fldCharType="begin"/>
      </w:r>
      <w:r>
        <w:instrText xml:space="preserve"> PAGEREF _Toc13837 \h </w:instrText>
      </w:r>
      <w:r>
        <w:fldChar w:fldCharType="separate"/>
      </w:r>
      <w:r>
        <w:t>195</w:t>
      </w:r>
      <w:r>
        <w:fldChar w:fldCharType="end"/>
      </w:r>
      <w:r>
        <w:rPr>
          <w:rFonts w:hint="eastAsia" w:ascii="华文中宋" w:hAnsi="华文中宋" w:eastAsia="华文中宋" w:cs="华文中宋"/>
          <w:szCs w:val="18"/>
          <w:lang w:val="en-US"/>
        </w:rPr>
        <w:fldChar w:fldCharType="end"/>
      </w:r>
    </w:p>
    <w:p w14:paraId="59248944">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_Toc296 </w:instrText>
      </w:r>
      <w:r>
        <w:rPr>
          <w:rFonts w:hint="eastAsia" w:ascii="华文中宋" w:hAnsi="华文中宋" w:eastAsia="华文中宋" w:cs="华文中宋"/>
          <w:szCs w:val="18"/>
          <w:lang w:val="en-US"/>
        </w:rPr>
        <w:fldChar w:fldCharType="separate"/>
      </w:r>
      <w:r>
        <w:rPr>
          <w:rFonts w:hint="eastAsia"/>
        </w:rPr>
        <w:t xml:space="preserve">8.6.1. </w:t>
      </w:r>
      <w:r>
        <w:rPr>
          <w:rFonts w:hint="eastAsia"/>
          <w:lang w:val="en-US"/>
        </w:rPr>
        <w:t>组织</w:t>
      </w:r>
      <w:r>
        <w:rPr>
          <w:rFonts w:hint="eastAsia"/>
        </w:rPr>
        <w:t>与人员保障</w:t>
      </w:r>
      <w:r>
        <w:tab/>
      </w:r>
      <w:r>
        <w:fldChar w:fldCharType="begin"/>
      </w:r>
      <w:r>
        <w:instrText xml:space="preserve"> PAGEREF _Toc296 \h </w:instrText>
      </w:r>
      <w:r>
        <w:fldChar w:fldCharType="separate"/>
      </w:r>
      <w:r>
        <w:t>195</w:t>
      </w:r>
      <w:r>
        <w:fldChar w:fldCharType="end"/>
      </w:r>
      <w:r>
        <w:rPr>
          <w:rFonts w:hint="eastAsia" w:ascii="华文中宋" w:hAnsi="华文中宋" w:eastAsia="华文中宋" w:cs="华文中宋"/>
          <w:szCs w:val="18"/>
          <w:lang w:val="en-US"/>
        </w:rPr>
        <w:fldChar w:fldCharType="end"/>
      </w:r>
    </w:p>
    <w:p w14:paraId="5E896130">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_Toc8886 </w:instrText>
      </w:r>
      <w:r>
        <w:rPr>
          <w:rFonts w:hint="eastAsia" w:ascii="华文中宋" w:hAnsi="华文中宋" w:eastAsia="华文中宋" w:cs="华文中宋"/>
          <w:szCs w:val="18"/>
          <w:lang w:val="en-US"/>
        </w:rPr>
        <w:fldChar w:fldCharType="separate"/>
      </w:r>
      <w:r>
        <w:rPr>
          <w:rFonts w:hint="eastAsia"/>
        </w:rPr>
        <w:t>8.6.2. 技术与标准保障</w:t>
      </w:r>
      <w:r>
        <w:tab/>
      </w:r>
      <w:r>
        <w:fldChar w:fldCharType="begin"/>
      </w:r>
      <w:r>
        <w:instrText xml:space="preserve"> PAGEREF _Toc8886 \h </w:instrText>
      </w:r>
      <w:r>
        <w:fldChar w:fldCharType="separate"/>
      </w:r>
      <w:r>
        <w:t>196</w:t>
      </w:r>
      <w:r>
        <w:fldChar w:fldCharType="end"/>
      </w:r>
      <w:r>
        <w:rPr>
          <w:rFonts w:hint="eastAsia" w:ascii="华文中宋" w:hAnsi="华文中宋" w:eastAsia="华文中宋" w:cs="华文中宋"/>
          <w:szCs w:val="18"/>
          <w:lang w:val="en-US"/>
        </w:rPr>
        <w:fldChar w:fldCharType="end"/>
      </w:r>
    </w:p>
    <w:p w14:paraId="0FEE634B">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_Toc7001 </w:instrText>
      </w:r>
      <w:r>
        <w:rPr>
          <w:rFonts w:hint="eastAsia" w:ascii="华文中宋" w:hAnsi="华文中宋" w:eastAsia="华文中宋" w:cs="华文中宋"/>
          <w:szCs w:val="18"/>
          <w:lang w:val="en-US"/>
        </w:rPr>
        <w:fldChar w:fldCharType="separate"/>
      </w:r>
      <w:r>
        <w:rPr>
          <w:rFonts w:hint="eastAsia"/>
        </w:rPr>
        <w:t>8.6.3. 过程与质量控制保障</w:t>
      </w:r>
      <w:r>
        <w:tab/>
      </w:r>
      <w:r>
        <w:fldChar w:fldCharType="begin"/>
      </w:r>
      <w:r>
        <w:instrText xml:space="preserve"> PAGEREF _Toc7001 \h </w:instrText>
      </w:r>
      <w:r>
        <w:fldChar w:fldCharType="separate"/>
      </w:r>
      <w:r>
        <w:t>196</w:t>
      </w:r>
      <w:r>
        <w:fldChar w:fldCharType="end"/>
      </w:r>
      <w:r>
        <w:rPr>
          <w:rFonts w:hint="eastAsia" w:ascii="华文中宋" w:hAnsi="华文中宋" w:eastAsia="华文中宋" w:cs="华文中宋"/>
          <w:szCs w:val="18"/>
          <w:lang w:val="en-US"/>
        </w:rPr>
        <w:fldChar w:fldCharType="end"/>
      </w:r>
    </w:p>
    <w:p w14:paraId="20453B4D">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_Toc10169 </w:instrText>
      </w:r>
      <w:r>
        <w:rPr>
          <w:rFonts w:hint="eastAsia" w:ascii="华文中宋" w:hAnsi="华文中宋" w:eastAsia="华文中宋" w:cs="华文中宋"/>
          <w:szCs w:val="18"/>
          <w:lang w:val="en-US"/>
        </w:rPr>
        <w:fldChar w:fldCharType="separate"/>
      </w:r>
      <w:r>
        <w:rPr>
          <w:rFonts w:hint="eastAsia"/>
        </w:rPr>
        <w:t>8.6.4. 数据与安全保障</w:t>
      </w:r>
      <w:r>
        <w:tab/>
      </w:r>
      <w:r>
        <w:fldChar w:fldCharType="begin"/>
      </w:r>
      <w:r>
        <w:instrText xml:space="preserve"> PAGEREF _Toc10169 \h </w:instrText>
      </w:r>
      <w:r>
        <w:fldChar w:fldCharType="separate"/>
      </w:r>
      <w:r>
        <w:t>197</w:t>
      </w:r>
      <w:r>
        <w:fldChar w:fldCharType="end"/>
      </w:r>
      <w:r>
        <w:rPr>
          <w:rFonts w:hint="eastAsia" w:ascii="华文中宋" w:hAnsi="华文中宋" w:eastAsia="华文中宋" w:cs="华文中宋"/>
          <w:szCs w:val="18"/>
          <w:lang w:val="en-US"/>
        </w:rPr>
        <w:fldChar w:fldCharType="end"/>
      </w:r>
    </w:p>
    <w:p w14:paraId="49FED7E2">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_Toc13621 </w:instrText>
      </w:r>
      <w:r>
        <w:rPr>
          <w:rFonts w:hint="eastAsia" w:ascii="华文中宋" w:hAnsi="华文中宋" w:eastAsia="华文中宋" w:cs="华文中宋"/>
          <w:szCs w:val="18"/>
          <w:lang w:val="en-US"/>
        </w:rPr>
        <w:fldChar w:fldCharType="separate"/>
      </w:r>
      <w:r>
        <w:rPr>
          <w:rFonts w:hint="eastAsia"/>
        </w:rPr>
        <w:t>8.6.5. 风险与应急保障</w:t>
      </w:r>
      <w:r>
        <w:tab/>
      </w:r>
      <w:r>
        <w:fldChar w:fldCharType="begin"/>
      </w:r>
      <w:r>
        <w:instrText xml:space="preserve"> PAGEREF _Toc13621 \h </w:instrText>
      </w:r>
      <w:r>
        <w:fldChar w:fldCharType="separate"/>
      </w:r>
      <w:r>
        <w:t>197</w:t>
      </w:r>
      <w:r>
        <w:fldChar w:fldCharType="end"/>
      </w:r>
      <w:r>
        <w:rPr>
          <w:rFonts w:hint="eastAsia" w:ascii="华文中宋" w:hAnsi="华文中宋" w:eastAsia="华文中宋" w:cs="华文中宋"/>
          <w:szCs w:val="18"/>
          <w:lang w:val="en-US"/>
        </w:rPr>
        <w:fldChar w:fldCharType="end"/>
      </w:r>
    </w:p>
    <w:p w14:paraId="7AC71835">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_Toc29850 </w:instrText>
      </w:r>
      <w:r>
        <w:rPr>
          <w:rFonts w:hint="eastAsia" w:ascii="华文中宋" w:hAnsi="华文中宋" w:eastAsia="华文中宋" w:cs="华文中宋"/>
          <w:szCs w:val="18"/>
          <w:lang w:val="en-US"/>
        </w:rPr>
        <w:fldChar w:fldCharType="separate"/>
      </w:r>
      <w:r>
        <w:rPr>
          <w:rFonts w:hint="eastAsia"/>
        </w:rPr>
        <w:t>8.6.6. 验收与评估保障</w:t>
      </w:r>
      <w:r>
        <w:tab/>
      </w:r>
      <w:r>
        <w:fldChar w:fldCharType="begin"/>
      </w:r>
      <w:r>
        <w:instrText xml:space="preserve"> PAGEREF _Toc29850 \h </w:instrText>
      </w:r>
      <w:r>
        <w:fldChar w:fldCharType="separate"/>
      </w:r>
      <w:r>
        <w:t>197</w:t>
      </w:r>
      <w:r>
        <w:fldChar w:fldCharType="end"/>
      </w:r>
      <w:r>
        <w:rPr>
          <w:rFonts w:hint="eastAsia" w:ascii="华文中宋" w:hAnsi="华文中宋" w:eastAsia="华文中宋" w:cs="华文中宋"/>
          <w:szCs w:val="18"/>
          <w:lang w:val="en-US"/>
        </w:rPr>
        <w:fldChar w:fldCharType="end"/>
      </w:r>
    </w:p>
    <w:p w14:paraId="54C76E24">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_Toc16329 </w:instrText>
      </w:r>
      <w:r>
        <w:rPr>
          <w:rFonts w:hint="eastAsia" w:ascii="华文中宋" w:hAnsi="华文中宋" w:eastAsia="华文中宋" w:cs="华文中宋"/>
          <w:szCs w:val="18"/>
          <w:lang w:val="en-US"/>
        </w:rPr>
        <w:fldChar w:fldCharType="separate"/>
      </w:r>
      <w:r>
        <w:rPr>
          <w:rFonts w:hint="eastAsia"/>
          <w:lang w:val="en-US"/>
        </w:rPr>
        <w:t>第九章 效益与风险分析</w:t>
      </w:r>
      <w:r>
        <w:tab/>
      </w:r>
      <w:r>
        <w:fldChar w:fldCharType="begin"/>
      </w:r>
      <w:r>
        <w:instrText xml:space="preserve"> PAGEREF _Toc16329 \h </w:instrText>
      </w:r>
      <w:r>
        <w:fldChar w:fldCharType="separate"/>
      </w:r>
      <w:r>
        <w:t>198</w:t>
      </w:r>
      <w:r>
        <w:fldChar w:fldCharType="end"/>
      </w:r>
      <w:r>
        <w:rPr>
          <w:rFonts w:hint="eastAsia" w:ascii="华文中宋" w:hAnsi="华文中宋" w:eastAsia="华文中宋" w:cs="华文中宋"/>
          <w:szCs w:val="18"/>
          <w:lang w:val="en-US"/>
        </w:rPr>
        <w:fldChar w:fldCharType="end"/>
      </w:r>
    </w:p>
    <w:p w14:paraId="72615446">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_Toc16211 </w:instrText>
      </w:r>
      <w:r>
        <w:rPr>
          <w:rFonts w:hint="eastAsia" w:ascii="华文中宋" w:hAnsi="华文中宋" w:eastAsia="华文中宋" w:cs="华文中宋"/>
          <w:szCs w:val="18"/>
          <w:lang w:val="en-US"/>
        </w:rPr>
        <w:fldChar w:fldCharType="separate"/>
      </w:r>
      <w:r>
        <w:rPr>
          <w:rFonts w:hint="eastAsia"/>
          <w:lang w:val="en-US"/>
        </w:rPr>
        <w:t>9.1. 项目的经济效益和社会效益分析</w:t>
      </w:r>
      <w:r>
        <w:tab/>
      </w:r>
      <w:r>
        <w:fldChar w:fldCharType="begin"/>
      </w:r>
      <w:r>
        <w:instrText xml:space="preserve"> PAGEREF _Toc16211 \h </w:instrText>
      </w:r>
      <w:r>
        <w:fldChar w:fldCharType="separate"/>
      </w:r>
      <w:r>
        <w:t>198</w:t>
      </w:r>
      <w:r>
        <w:fldChar w:fldCharType="end"/>
      </w:r>
      <w:r>
        <w:rPr>
          <w:rFonts w:hint="eastAsia" w:ascii="华文中宋" w:hAnsi="华文中宋" w:eastAsia="华文中宋" w:cs="华文中宋"/>
          <w:szCs w:val="18"/>
          <w:lang w:val="en-US"/>
        </w:rPr>
        <w:fldChar w:fldCharType="end"/>
      </w:r>
    </w:p>
    <w:p w14:paraId="68C288EF">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_Toc26080 </w:instrText>
      </w:r>
      <w:r>
        <w:rPr>
          <w:rFonts w:hint="eastAsia" w:ascii="华文中宋" w:hAnsi="华文中宋" w:eastAsia="华文中宋" w:cs="华文中宋"/>
          <w:szCs w:val="18"/>
          <w:lang w:val="en-US"/>
        </w:rPr>
        <w:fldChar w:fldCharType="separate"/>
      </w:r>
      <w:r>
        <w:rPr>
          <w:rFonts w:hint="eastAsia"/>
        </w:rPr>
        <w:t xml:space="preserve">9.1.1. </w:t>
      </w:r>
      <w:r>
        <w:t>社会效益分析</w:t>
      </w:r>
      <w:r>
        <w:tab/>
      </w:r>
      <w:r>
        <w:fldChar w:fldCharType="begin"/>
      </w:r>
      <w:r>
        <w:instrText xml:space="preserve"> PAGEREF _Toc26080 \h </w:instrText>
      </w:r>
      <w:r>
        <w:fldChar w:fldCharType="separate"/>
      </w:r>
      <w:r>
        <w:t>198</w:t>
      </w:r>
      <w:r>
        <w:fldChar w:fldCharType="end"/>
      </w:r>
      <w:r>
        <w:rPr>
          <w:rFonts w:hint="eastAsia" w:ascii="华文中宋" w:hAnsi="华文中宋" w:eastAsia="华文中宋" w:cs="华文中宋"/>
          <w:szCs w:val="18"/>
          <w:lang w:val="en-US"/>
        </w:rPr>
        <w:fldChar w:fldCharType="end"/>
      </w:r>
    </w:p>
    <w:p w14:paraId="6488083E">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_Toc26987 </w:instrText>
      </w:r>
      <w:r>
        <w:rPr>
          <w:rFonts w:hint="eastAsia" w:ascii="华文中宋" w:hAnsi="华文中宋" w:eastAsia="华文中宋" w:cs="华文中宋"/>
          <w:szCs w:val="18"/>
          <w:lang w:val="en-US"/>
        </w:rPr>
        <w:fldChar w:fldCharType="separate"/>
      </w:r>
      <w:r>
        <w:rPr>
          <w:rFonts w:hint="eastAsia"/>
        </w:rPr>
        <w:t xml:space="preserve">9.1.2. </w:t>
      </w:r>
      <w:r>
        <w:t>经济效益分析</w:t>
      </w:r>
      <w:r>
        <w:tab/>
      </w:r>
      <w:r>
        <w:fldChar w:fldCharType="begin"/>
      </w:r>
      <w:r>
        <w:instrText xml:space="preserve"> PAGEREF _Toc26987 \h </w:instrText>
      </w:r>
      <w:r>
        <w:fldChar w:fldCharType="separate"/>
      </w:r>
      <w:r>
        <w:t>198</w:t>
      </w:r>
      <w:r>
        <w:fldChar w:fldCharType="end"/>
      </w:r>
      <w:r>
        <w:rPr>
          <w:rFonts w:hint="eastAsia" w:ascii="华文中宋" w:hAnsi="华文中宋" w:eastAsia="华文中宋" w:cs="华文中宋"/>
          <w:szCs w:val="18"/>
          <w:lang w:val="en-US"/>
        </w:rPr>
        <w:fldChar w:fldCharType="end"/>
      </w:r>
    </w:p>
    <w:p w14:paraId="6B7E821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_Toc1317 </w:instrText>
      </w:r>
      <w:r>
        <w:rPr>
          <w:rFonts w:hint="eastAsia" w:ascii="华文中宋" w:hAnsi="华文中宋" w:eastAsia="华文中宋" w:cs="华文中宋"/>
          <w:szCs w:val="18"/>
          <w:lang w:val="en-US"/>
        </w:rPr>
        <w:fldChar w:fldCharType="separate"/>
      </w:r>
      <w:r>
        <w:rPr>
          <w:rFonts w:hint="eastAsia"/>
          <w:lang w:val="en-US"/>
        </w:rPr>
        <w:t>9.2. 项目风险与风险对策</w:t>
      </w:r>
      <w:r>
        <w:tab/>
      </w:r>
      <w:r>
        <w:fldChar w:fldCharType="begin"/>
      </w:r>
      <w:r>
        <w:instrText xml:space="preserve"> PAGEREF _Toc1317 \h </w:instrText>
      </w:r>
      <w:r>
        <w:fldChar w:fldCharType="separate"/>
      </w:r>
      <w:r>
        <w:t>200</w:t>
      </w:r>
      <w:r>
        <w:fldChar w:fldCharType="end"/>
      </w:r>
      <w:r>
        <w:rPr>
          <w:rFonts w:hint="eastAsia" w:ascii="华文中宋" w:hAnsi="华文中宋" w:eastAsia="华文中宋" w:cs="华文中宋"/>
          <w:szCs w:val="18"/>
          <w:lang w:val="en-US"/>
        </w:rPr>
        <w:fldChar w:fldCharType="end"/>
      </w:r>
    </w:p>
    <w:p w14:paraId="14A81977">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_Toc23322 </w:instrText>
      </w:r>
      <w:r>
        <w:rPr>
          <w:rFonts w:hint="eastAsia" w:ascii="华文中宋" w:hAnsi="华文中宋" w:eastAsia="华文中宋" w:cs="华文中宋"/>
          <w:szCs w:val="18"/>
          <w:lang w:val="en-US"/>
        </w:rPr>
        <w:fldChar w:fldCharType="separate"/>
      </w:r>
      <w:r>
        <w:rPr>
          <w:rFonts w:hint="eastAsia"/>
        </w:rPr>
        <w:t>9.2.1. 风险识别和分析</w:t>
      </w:r>
      <w:r>
        <w:tab/>
      </w:r>
      <w:r>
        <w:fldChar w:fldCharType="begin"/>
      </w:r>
      <w:r>
        <w:instrText xml:space="preserve"> PAGEREF _Toc23322 \h </w:instrText>
      </w:r>
      <w:r>
        <w:fldChar w:fldCharType="separate"/>
      </w:r>
      <w:r>
        <w:t>200</w:t>
      </w:r>
      <w:r>
        <w:fldChar w:fldCharType="end"/>
      </w:r>
      <w:r>
        <w:rPr>
          <w:rFonts w:hint="eastAsia" w:ascii="华文中宋" w:hAnsi="华文中宋" w:eastAsia="华文中宋" w:cs="华文中宋"/>
          <w:szCs w:val="18"/>
          <w:lang w:val="en-US"/>
        </w:rPr>
        <w:fldChar w:fldCharType="end"/>
      </w:r>
    </w:p>
    <w:p w14:paraId="71D28A52">
      <w:pPr>
        <w:pStyle w:val="23"/>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_Toc18751 </w:instrText>
      </w:r>
      <w:r>
        <w:rPr>
          <w:rFonts w:hint="eastAsia" w:ascii="华文中宋" w:hAnsi="华文中宋" w:eastAsia="华文中宋" w:cs="华文中宋"/>
          <w:szCs w:val="18"/>
          <w:lang w:val="en-US"/>
        </w:rPr>
        <w:fldChar w:fldCharType="separate"/>
      </w:r>
      <w:r>
        <w:rPr>
          <w:rFonts w:hint="eastAsia"/>
        </w:rPr>
        <w:t>9.2.2. 风险对策和管理</w:t>
      </w:r>
      <w:r>
        <w:tab/>
      </w:r>
      <w:r>
        <w:fldChar w:fldCharType="begin"/>
      </w:r>
      <w:r>
        <w:instrText xml:space="preserve"> PAGEREF _Toc18751 \h </w:instrText>
      </w:r>
      <w:r>
        <w:fldChar w:fldCharType="separate"/>
      </w:r>
      <w:r>
        <w:t>201</w:t>
      </w:r>
      <w:r>
        <w:fldChar w:fldCharType="end"/>
      </w:r>
      <w:r>
        <w:rPr>
          <w:rFonts w:hint="eastAsia" w:ascii="华文中宋" w:hAnsi="华文中宋" w:eastAsia="华文中宋" w:cs="华文中宋"/>
          <w:szCs w:val="18"/>
          <w:lang w:val="en-US"/>
        </w:rPr>
        <w:fldChar w:fldCharType="end"/>
      </w:r>
    </w:p>
    <w:p w14:paraId="47FA61F9">
      <w:pPr>
        <w:pStyle w:val="29"/>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_Toc11381 </w:instrText>
      </w:r>
      <w:r>
        <w:rPr>
          <w:rFonts w:hint="eastAsia" w:ascii="华文中宋" w:hAnsi="华文中宋" w:eastAsia="华文中宋" w:cs="华文中宋"/>
          <w:szCs w:val="18"/>
          <w:lang w:val="en-US"/>
        </w:rPr>
        <w:fldChar w:fldCharType="separate"/>
      </w:r>
      <w:r>
        <w:rPr>
          <w:rFonts w:hint="eastAsia"/>
          <w:lang w:val="en-US"/>
        </w:rPr>
        <w:t>第十章 附件</w:t>
      </w:r>
      <w:r>
        <w:tab/>
      </w:r>
      <w:r>
        <w:fldChar w:fldCharType="begin"/>
      </w:r>
      <w:r>
        <w:instrText xml:space="preserve"> PAGEREF _Toc11381 \h </w:instrText>
      </w:r>
      <w:r>
        <w:fldChar w:fldCharType="separate"/>
      </w:r>
      <w:r>
        <w:t>204</w:t>
      </w:r>
      <w:r>
        <w:fldChar w:fldCharType="end"/>
      </w:r>
      <w:r>
        <w:rPr>
          <w:rFonts w:hint="eastAsia" w:ascii="华文中宋" w:hAnsi="华文中宋" w:eastAsia="华文中宋" w:cs="华文中宋"/>
          <w:szCs w:val="18"/>
          <w:lang w:val="en-US"/>
        </w:rPr>
        <w:fldChar w:fldCharType="end"/>
      </w:r>
    </w:p>
    <w:p w14:paraId="645DD37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_Toc16595 </w:instrText>
      </w:r>
      <w:r>
        <w:rPr>
          <w:rFonts w:hint="eastAsia" w:ascii="华文中宋" w:hAnsi="华文中宋" w:eastAsia="华文中宋" w:cs="华文中宋"/>
          <w:szCs w:val="18"/>
          <w:lang w:val="en-US"/>
        </w:rPr>
        <w:fldChar w:fldCharType="separate"/>
      </w:r>
      <w:r>
        <w:rPr>
          <w:rFonts w:hint="eastAsia"/>
          <w:lang w:val="en-US"/>
        </w:rPr>
        <w:t>10.1. 初设批复文件</w:t>
      </w:r>
      <w:r>
        <w:tab/>
      </w:r>
      <w:r>
        <w:fldChar w:fldCharType="begin"/>
      </w:r>
      <w:r>
        <w:instrText xml:space="preserve"> PAGEREF _Toc16595 \h </w:instrText>
      </w:r>
      <w:r>
        <w:fldChar w:fldCharType="separate"/>
      </w:r>
      <w:r>
        <w:t>204</w:t>
      </w:r>
      <w:r>
        <w:fldChar w:fldCharType="end"/>
      </w:r>
      <w:r>
        <w:rPr>
          <w:rFonts w:hint="eastAsia" w:ascii="华文中宋" w:hAnsi="华文中宋" w:eastAsia="华文中宋" w:cs="华文中宋"/>
          <w:szCs w:val="18"/>
          <w:lang w:val="en-US"/>
        </w:rPr>
        <w:fldChar w:fldCharType="end"/>
      </w:r>
    </w:p>
    <w:p w14:paraId="62082A64">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_Toc13544 </w:instrText>
      </w:r>
      <w:r>
        <w:rPr>
          <w:rFonts w:hint="eastAsia" w:ascii="华文中宋" w:hAnsi="华文中宋" w:eastAsia="华文中宋" w:cs="华文中宋"/>
          <w:szCs w:val="18"/>
          <w:lang w:val="en-US"/>
        </w:rPr>
        <w:fldChar w:fldCharType="separate"/>
      </w:r>
      <w:r>
        <w:rPr>
          <w:rFonts w:hint="eastAsia"/>
          <w:lang w:val="en-US"/>
        </w:rPr>
        <w:t>10.2. 可研批复文件</w:t>
      </w:r>
      <w:r>
        <w:tab/>
      </w:r>
      <w:r>
        <w:fldChar w:fldCharType="begin"/>
      </w:r>
      <w:r>
        <w:instrText xml:space="preserve"> PAGEREF _Toc13544 \h </w:instrText>
      </w:r>
      <w:r>
        <w:fldChar w:fldCharType="separate"/>
      </w:r>
      <w:r>
        <w:t>207</w:t>
      </w:r>
      <w:r>
        <w:fldChar w:fldCharType="end"/>
      </w:r>
      <w:r>
        <w:rPr>
          <w:rFonts w:hint="eastAsia" w:ascii="华文中宋" w:hAnsi="华文中宋" w:eastAsia="华文中宋" w:cs="华文中宋"/>
          <w:szCs w:val="18"/>
          <w:lang w:val="en-US"/>
        </w:rPr>
        <w:fldChar w:fldCharType="end"/>
      </w:r>
    </w:p>
    <w:p w14:paraId="1DE7E17F">
      <w:pPr>
        <w:pStyle w:val="32"/>
        <w:tabs>
          <w:tab w:val="right" w:leader="dot" w:pos="8306"/>
        </w:tabs>
      </w:pPr>
      <w:r>
        <w:rPr>
          <w:rFonts w:hint="eastAsia" w:ascii="华文中宋" w:hAnsi="华文中宋" w:eastAsia="华文中宋" w:cs="华文中宋"/>
          <w:szCs w:val="18"/>
          <w:lang w:val="en-US"/>
        </w:rPr>
        <w:fldChar w:fldCharType="begin"/>
      </w:r>
      <w:r>
        <w:rPr>
          <w:rFonts w:hint="eastAsia" w:ascii="华文中宋" w:hAnsi="华文中宋" w:eastAsia="华文中宋" w:cs="华文中宋"/>
          <w:szCs w:val="18"/>
          <w:lang w:val="en-US"/>
        </w:rPr>
        <w:instrText xml:space="preserve"> HYPERLINK \l _Toc17298 </w:instrText>
      </w:r>
      <w:r>
        <w:rPr>
          <w:rFonts w:hint="eastAsia" w:ascii="华文中宋" w:hAnsi="华文中宋" w:eastAsia="华文中宋" w:cs="华文中宋"/>
          <w:szCs w:val="18"/>
          <w:lang w:val="en-US"/>
        </w:rPr>
        <w:fldChar w:fldCharType="separate"/>
      </w:r>
      <w:r>
        <w:rPr>
          <w:rFonts w:hint="eastAsia"/>
          <w:lang w:val="en-US"/>
        </w:rPr>
        <w:t xml:space="preserve">10.3. </w:t>
      </w:r>
      <w:r>
        <w:rPr>
          <w:lang w:val="en-US"/>
        </w:rPr>
        <w:t>需求调研表</w:t>
      </w:r>
      <w:r>
        <w:tab/>
      </w:r>
      <w:r>
        <w:fldChar w:fldCharType="begin"/>
      </w:r>
      <w:r>
        <w:instrText xml:space="preserve"> PAGEREF _Toc17298 \h </w:instrText>
      </w:r>
      <w:r>
        <w:fldChar w:fldCharType="separate"/>
      </w:r>
      <w:r>
        <w:t>210</w:t>
      </w:r>
      <w:r>
        <w:fldChar w:fldCharType="end"/>
      </w:r>
      <w:r>
        <w:rPr>
          <w:rFonts w:hint="eastAsia" w:ascii="华文中宋" w:hAnsi="华文中宋" w:eastAsia="华文中宋" w:cs="华文中宋"/>
          <w:szCs w:val="18"/>
          <w:lang w:val="en-US"/>
        </w:rPr>
        <w:fldChar w:fldCharType="end"/>
      </w:r>
    </w:p>
    <w:p w14:paraId="75B7D7CA">
      <w:pPr>
        <w:pStyle w:val="29"/>
        <w:tabs>
          <w:tab w:val="right" w:leader="dot" w:pos="8296"/>
        </w:tabs>
        <w:ind w:firstLine="480"/>
        <w:rPr>
          <w:rFonts w:hint="eastAsia" w:ascii="华文中宋" w:hAnsi="华文中宋" w:eastAsia="华文中宋" w:cs="华文中宋"/>
          <w:sz w:val="32"/>
          <w:szCs w:val="18"/>
          <w:lang w:val="en-US"/>
        </w:rPr>
        <w:sectPr>
          <w:headerReference r:id="rId14" w:type="default"/>
          <w:footerReference r:id="rId15" w:type="default"/>
          <w:pgSz w:w="11906" w:h="16838"/>
          <w:pgMar w:top="1440" w:right="1800" w:bottom="1440" w:left="1800" w:header="851" w:footer="992" w:gutter="0"/>
          <w:pgNumType w:start="1"/>
          <w:cols w:space="425" w:num="1"/>
          <w:docGrid w:type="lines" w:linePitch="312" w:charSpace="0"/>
        </w:sectPr>
      </w:pPr>
      <w:r>
        <w:rPr>
          <w:rFonts w:hint="eastAsia" w:ascii="华文中宋" w:hAnsi="华文中宋" w:eastAsia="华文中宋" w:cs="华文中宋"/>
          <w:szCs w:val="18"/>
          <w:lang w:val="en-US"/>
        </w:rPr>
        <w:fldChar w:fldCharType="end"/>
      </w:r>
    </w:p>
    <w:p w14:paraId="75B7D7CB">
      <w:pPr>
        <w:pStyle w:val="2"/>
        <w:rPr>
          <w:rFonts w:hint="eastAsia"/>
        </w:rPr>
      </w:pPr>
      <w:r>
        <w:rPr>
          <w:rFonts w:hint="eastAsia"/>
          <w:lang w:val="en-US"/>
        </w:rPr>
        <w:t xml:space="preserve"> </w:t>
      </w:r>
      <w:bookmarkStart w:id="0" w:name="_Toc21559"/>
      <w:bookmarkStart w:id="1" w:name="_Toc19262"/>
      <w:r>
        <w:rPr>
          <w:rFonts w:hint="eastAsia"/>
        </w:rPr>
        <w:t>项目概述</w:t>
      </w:r>
      <w:bookmarkEnd w:id="0"/>
      <w:bookmarkEnd w:id="1"/>
    </w:p>
    <w:p w14:paraId="75B7D7CC">
      <w:pPr>
        <w:pStyle w:val="3"/>
      </w:pPr>
      <w:bookmarkStart w:id="2" w:name="_Toc22982"/>
      <w:bookmarkStart w:id="3" w:name="_Toc6623"/>
      <w:r>
        <w:rPr>
          <w:rFonts w:hint="eastAsia"/>
        </w:rPr>
        <w:t>项目名称</w:t>
      </w:r>
      <w:bookmarkEnd w:id="2"/>
      <w:bookmarkEnd w:id="3"/>
    </w:p>
    <w:p w14:paraId="04BCFD09">
      <w:pPr>
        <w:ind w:left="-2" w:leftChars="-1" w:firstLine="480"/>
        <w:rPr>
          <w:rFonts w:hint="eastAsia" w:eastAsia="仿宋_GB2312"/>
          <w:lang w:val="en-US" w:eastAsia="zh-CN"/>
        </w:rPr>
      </w:pPr>
      <w:bookmarkStart w:id="4" w:name="_Toc5688"/>
      <w:r>
        <w:rPr>
          <w:rFonts w:hint="eastAsia"/>
          <w:lang w:val="en-US"/>
        </w:rPr>
        <w:t>湖南省岳阳市森林火灾高风险区综合治理能力提升</w:t>
      </w:r>
      <w:r>
        <w:rPr>
          <w:rFonts w:hint="eastAsia"/>
          <w:lang w:val="en-US" w:eastAsia="zh-CN"/>
        </w:rPr>
        <w:t>项目-工程1标段（</w:t>
      </w:r>
      <w:r>
        <w:rPr>
          <w:rFonts w:hint="eastAsia"/>
          <w:lang w:val="en-US"/>
        </w:rPr>
        <w:t>信息化建设</w:t>
      </w:r>
      <w:r>
        <w:rPr>
          <w:rFonts w:hint="eastAsia"/>
          <w:lang w:val="en-US" w:eastAsia="zh-CN"/>
        </w:rPr>
        <w:t>）</w:t>
      </w:r>
    </w:p>
    <w:p w14:paraId="75B7D7CE">
      <w:pPr>
        <w:pStyle w:val="3"/>
      </w:pPr>
      <w:bookmarkStart w:id="5" w:name="_Toc26258"/>
      <w:r>
        <w:rPr>
          <w:rFonts w:hint="eastAsia"/>
        </w:rPr>
        <w:t>项目性质</w:t>
      </w:r>
      <w:bookmarkEnd w:id="4"/>
      <w:bookmarkEnd w:id="5"/>
    </w:p>
    <w:p w14:paraId="75B7D7CF">
      <w:pPr>
        <w:ind w:firstLine="480"/>
        <w:rPr>
          <w:rFonts w:hint="eastAsia"/>
        </w:rPr>
      </w:pPr>
      <w:r>
        <w:rPr>
          <w:rFonts w:hint="eastAsia"/>
          <w:lang w:val="en-US"/>
        </w:rPr>
        <w:t>新建</w:t>
      </w:r>
    </w:p>
    <w:p w14:paraId="75B7D7D0">
      <w:pPr>
        <w:pStyle w:val="3"/>
      </w:pPr>
      <w:bookmarkStart w:id="6" w:name="_Toc28390"/>
      <w:bookmarkStart w:id="7" w:name="_Toc11414"/>
      <w:r>
        <w:rPr>
          <w:rFonts w:hint="eastAsia"/>
        </w:rPr>
        <w:t>建设单位、负责人与经办人</w:t>
      </w:r>
      <w:bookmarkEnd w:id="6"/>
      <w:bookmarkEnd w:id="7"/>
    </w:p>
    <w:p w14:paraId="75B7D7D1">
      <w:pPr>
        <w:ind w:firstLine="480"/>
        <w:rPr>
          <w:rFonts w:hint="eastAsia"/>
          <w:lang w:val="en-US"/>
        </w:rPr>
      </w:pPr>
      <w:bookmarkStart w:id="8" w:name="_Toc17209"/>
      <w:r>
        <w:rPr>
          <w:rFonts w:hint="eastAsia"/>
        </w:rPr>
        <w:t>建设单位名称：</w:t>
      </w:r>
      <w:r>
        <w:rPr>
          <w:rFonts w:hint="eastAsia"/>
          <w:lang w:val="en-US"/>
        </w:rPr>
        <w:t>岳阳市林业局</w:t>
      </w:r>
    </w:p>
    <w:p w14:paraId="75B7D7D2">
      <w:pPr>
        <w:ind w:firstLine="480"/>
        <w:rPr>
          <w:rFonts w:hint="eastAsia"/>
          <w:lang w:val="en-US"/>
        </w:rPr>
      </w:pPr>
      <w:r>
        <w:rPr>
          <w:rFonts w:hint="eastAsia"/>
          <w:lang w:val="en-US"/>
        </w:rPr>
        <w:t>单位负责人：余戈</w:t>
      </w:r>
    </w:p>
    <w:p w14:paraId="75B7D7D3">
      <w:pPr>
        <w:ind w:firstLine="480"/>
        <w:rPr>
          <w:rFonts w:hint="eastAsia"/>
          <w:lang w:val="en-US"/>
        </w:rPr>
      </w:pPr>
      <w:r>
        <w:rPr>
          <w:rFonts w:hint="eastAsia"/>
          <w:lang w:val="en-US"/>
        </w:rPr>
        <w:t>经办负责人：</w:t>
      </w:r>
      <w:r>
        <w:rPr>
          <w:spacing w:val="-5"/>
        </w:rPr>
        <w:t>杨广军</w:t>
      </w:r>
      <w:bookmarkEnd w:id="8"/>
      <w:r>
        <w:rPr>
          <w:rFonts w:hint="eastAsia"/>
          <w:lang w:val="en-US"/>
        </w:rPr>
        <w:t xml:space="preserve">       </w:t>
      </w:r>
    </w:p>
    <w:p w14:paraId="75B7D7D4">
      <w:pPr>
        <w:pStyle w:val="3"/>
        <w:rPr>
          <w:lang w:val="en-US"/>
        </w:rPr>
      </w:pPr>
      <w:bookmarkStart w:id="9" w:name="_Toc29774"/>
      <w:bookmarkStart w:id="10" w:name="_Toc13745"/>
      <w:r>
        <w:rPr>
          <w:rFonts w:hint="eastAsia"/>
          <w:lang w:val="en-US"/>
        </w:rPr>
        <w:t>编制单位</w:t>
      </w:r>
      <w:bookmarkEnd w:id="9"/>
      <w:bookmarkEnd w:id="10"/>
    </w:p>
    <w:p w14:paraId="75B7D7D5">
      <w:pPr>
        <w:ind w:firstLine="480"/>
        <w:rPr>
          <w:rFonts w:hint="eastAsia"/>
          <w:lang w:val="en-US"/>
        </w:rPr>
      </w:pPr>
      <w:r>
        <w:rPr>
          <w:rFonts w:hint="eastAsia"/>
          <w:lang w:val="en-US"/>
        </w:rPr>
        <w:t xml:space="preserve">编制单位名称：湖南大福信息技术咨询有限公司      </w:t>
      </w:r>
    </w:p>
    <w:p w14:paraId="75B7D7D6">
      <w:pPr>
        <w:pStyle w:val="3"/>
        <w:rPr>
          <w:lang w:val="en-US"/>
        </w:rPr>
      </w:pPr>
      <w:bookmarkStart w:id="11" w:name="_Toc3034"/>
      <w:bookmarkStart w:id="12" w:name="_Toc15755"/>
      <w:r>
        <w:rPr>
          <w:rFonts w:hint="eastAsia"/>
          <w:lang w:val="en-US"/>
        </w:rPr>
        <w:t>方案编制依据</w:t>
      </w:r>
      <w:bookmarkEnd w:id="11"/>
      <w:bookmarkEnd w:id="12"/>
    </w:p>
    <w:p w14:paraId="75B7D7D7">
      <w:pPr>
        <w:pStyle w:val="4"/>
        <w:rPr>
          <w:rFonts w:hint="eastAsia"/>
        </w:rPr>
      </w:pPr>
      <w:bookmarkStart w:id="13" w:name="_Toc29074"/>
      <w:bookmarkStart w:id="14" w:name="_Toc1307"/>
      <w:r>
        <w:rPr>
          <w:rFonts w:hint="eastAsia"/>
        </w:rPr>
        <w:t>政策依据</w:t>
      </w:r>
      <w:bookmarkEnd w:id="13"/>
      <w:bookmarkEnd w:id="14"/>
    </w:p>
    <w:p w14:paraId="75B7D7D8">
      <w:pPr>
        <w:numPr>
          <w:ilvl w:val="0"/>
          <w:numId w:val="9"/>
        </w:numPr>
        <w:ind w:left="0" w:firstLine="480"/>
        <w:rPr>
          <w:rFonts w:hint="eastAsia"/>
        </w:rPr>
      </w:pPr>
      <w:r>
        <w:rPr>
          <w:rFonts w:hint="eastAsia"/>
        </w:rPr>
        <w:t>《中华人民共和国森林法》（2019年修订）；</w:t>
      </w:r>
    </w:p>
    <w:p w14:paraId="75B7D7D9">
      <w:pPr>
        <w:numPr>
          <w:ilvl w:val="0"/>
          <w:numId w:val="9"/>
        </w:numPr>
        <w:ind w:left="0" w:firstLine="480"/>
        <w:rPr>
          <w:rFonts w:hint="eastAsia"/>
        </w:rPr>
      </w:pPr>
      <w:r>
        <w:rPr>
          <w:rFonts w:hint="eastAsia"/>
        </w:rPr>
        <w:t>《中华人民共和国环境保护法》（2014年修订）；</w:t>
      </w:r>
    </w:p>
    <w:p w14:paraId="75B7D7DA">
      <w:pPr>
        <w:numPr>
          <w:ilvl w:val="0"/>
          <w:numId w:val="9"/>
        </w:numPr>
        <w:ind w:left="0" w:firstLine="480"/>
        <w:rPr>
          <w:rFonts w:hint="eastAsia"/>
        </w:rPr>
      </w:pPr>
      <w:r>
        <w:rPr>
          <w:rFonts w:hint="eastAsia"/>
        </w:rPr>
        <w:t>《中华人民共和国森林法实施条例》（2018年3月修订）；</w:t>
      </w:r>
    </w:p>
    <w:p w14:paraId="75B7D7DB">
      <w:pPr>
        <w:numPr>
          <w:ilvl w:val="0"/>
          <w:numId w:val="9"/>
        </w:numPr>
        <w:ind w:left="0" w:firstLine="480"/>
        <w:rPr>
          <w:rFonts w:hint="eastAsia"/>
        </w:rPr>
      </w:pPr>
      <w:r>
        <w:rPr>
          <w:rFonts w:hint="eastAsia"/>
        </w:rPr>
        <w:t>《森林防火条例》（2008年修订）；</w:t>
      </w:r>
    </w:p>
    <w:p w14:paraId="75B7D7DC">
      <w:pPr>
        <w:numPr>
          <w:ilvl w:val="0"/>
          <w:numId w:val="9"/>
        </w:numPr>
        <w:ind w:left="0" w:firstLine="480"/>
        <w:rPr>
          <w:rFonts w:hint="eastAsia"/>
        </w:rPr>
      </w:pPr>
      <w:r>
        <w:rPr>
          <w:rFonts w:hint="eastAsia"/>
        </w:rPr>
        <w:t>《湖南省森林防火若干规定》（第13届湖南省人大常委会，2018年11月）；</w:t>
      </w:r>
    </w:p>
    <w:p w14:paraId="75B7D7DD">
      <w:pPr>
        <w:numPr>
          <w:ilvl w:val="0"/>
          <w:numId w:val="9"/>
        </w:numPr>
        <w:ind w:left="0" w:firstLine="480"/>
        <w:rPr>
          <w:rFonts w:hint="eastAsia"/>
        </w:rPr>
      </w:pPr>
      <w:r>
        <w:rPr>
          <w:rFonts w:hint="eastAsia"/>
        </w:rPr>
        <w:t>《中华人民共和国网络安全法》（2016年11月7日第十二届全国人民代表大会常务委员会第二十四次会议通过）；</w:t>
      </w:r>
    </w:p>
    <w:p w14:paraId="75B7D7DE">
      <w:pPr>
        <w:numPr>
          <w:ilvl w:val="0"/>
          <w:numId w:val="9"/>
        </w:numPr>
        <w:ind w:left="0" w:firstLine="480"/>
        <w:rPr>
          <w:rFonts w:hint="eastAsia"/>
        </w:rPr>
      </w:pPr>
      <w:r>
        <w:rPr>
          <w:rFonts w:hint="eastAsia"/>
        </w:rPr>
        <w:t>《中华人民共和国数据安全法》（2021年6月10日第十三届全国人民代表大会常务委员会第二十九次会议通过）；</w:t>
      </w:r>
    </w:p>
    <w:p w14:paraId="75B7D7DF">
      <w:pPr>
        <w:numPr>
          <w:ilvl w:val="0"/>
          <w:numId w:val="9"/>
        </w:numPr>
        <w:ind w:left="0" w:firstLine="480"/>
        <w:rPr>
          <w:rFonts w:hint="eastAsia"/>
        </w:rPr>
      </w:pPr>
      <w:r>
        <w:rPr>
          <w:rFonts w:hint="eastAsia"/>
        </w:rPr>
        <w:t>《岳阳市政务信息资源管理暂行办法》（岳政办发〔2021〕11号）；</w:t>
      </w:r>
    </w:p>
    <w:p w14:paraId="75B7D7E0">
      <w:pPr>
        <w:numPr>
          <w:ilvl w:val="0"/>
          <w:numId w:val="9"/>
        </w:numPr>
        <w:ind w:left="0" w:firstLine="480"/>
        <w:rPr>
          <w:rFonts w:hint="eastAsia"/>
        </w:rPr>
      </w:pPr>
      <w:r>
        <w:rPr>
          <w:rFonts w:hint="eastAsia"/>
        </w:rPr>
        <w:t>《国家政务信息化项目建设管理办法》（国办发〔2019〕57号）；</w:t>
      </w:r>
    </w:p>
    <w:p w14:paraId="75B7D7E1">
      <w:pPr>
        <w:numPr>
          <w:ilvl w:val="0"/>
          <w:numId w:val="9"/>
        </w:numPr>
        <w:ind w:left="0" w:firstLine="480"/>
        <w:rPr>
          <w:rFonts w:hint="eastAsia"/>
        </w:rPr>
      </w:pPr>
      <w:r>
        <w:rPr>
          <w:rFonts w:hint="eastAsia"/>
        </w:rPr>
        <w:t>《电子政务工程建设项目可行性研究报告编制规范》（CSDZ10016—2018）；</w:t>
      </w:r>
    </w:p>
    <w:p w14:paraId="75B7D7E2">
      <w:pPr>
        <w:numPr>
          <w:ilvl w:val="0"/>
          <w:numId w:val="9"/>
        </w:numPr>
        <w:ind w:left="0" w:firstLine="480"/>
        <w:rPr>
          <w:rFonts w:hint="eastAsia"/>
        </w:rPr>
      </w:pPr>
      <w:r>
        <w:rPr>
          <w:rFonts w:hint="eastAsia"/>
        </w:rPr>
        <w:t>《国家发展改革委关于印发投资项目可行性研究报告编写大纲及说明的通知》（发改投资规〔2023〕304号）；</w:t>
      </w:r>
    </w:p>
    <w:p w14:paraId="75B7D7E3">
      <w:pPr>
        <w:numPr>
          <w:ilvl w:val="0"/>
          <w:numId w:val="9"/>
        </w:numPr>
        <w:ind w:left="0" w:firstLine="480"/>
        <w:rPr>
          <w:rFonts w:hint="eastAsia"/>
        </w:rPr>
      </w:pPr>
      <w:r>
        <w:rPr>
          <w:rFonts w:hint="eastAsia"/>
        </w:rPr>
        <w:t>《国家发展改革委、建设部关于印发建设项目经济评价方法与参数的通知》（发改投资〔2006〕1325号）；</w:t>
      </w:r>
    </w:p>
    <w:p w14:paraId="75B7D7E4">
      <w:pPr>
        <w:numPr>
          <w:ilvl w:val="0"/>
          <w:numId w:val="9"/>
        </w:numPr>
        <w:ind w:left="0" w:firstLine="480"/>
        <w:rPr>
          <w:rFonts w:hint="eastAsia"/>
        </w:rPr>
      </w:pPr>
      <w:r>
        <w:rPr>
          <w:rFonts w:hint="eastAsia"/>
        </w:rPr>
        <w:t>《湖南省国民经济和社会发展第十四个五年规划和二O三五年远景目标纲要》（2021年1月29 日湖南省第十三届人民代表大会第四次会议批准）；</w:t>
      </w:r>
    </w:p>
    <w:p w14:paraId="75B7D7E5">
      <w:pPr>
        <w:numPr>
          <w:ilvl w:val="0"/>
          <w:numId w:val="9"/>
        </w:numPr>
        <w:ind w:left="0" w:firstLine="480"/>
        <w:rPr>
          <w:rFonts w:hint="eastAsia"/>
        </w:rPr>
      </w:pPr>
      <w:r>
        <w:rPr>
          <w:rFonts w:hint="eastAsia"/>
        </w:rPr>
        <w:t>《中共湖南省委关于制定湖南省国民经济和社会发展第十五个五年规划的建议》（2025年11月29日中国共产党湖南省第十二届委员会第九次全体会议通过）；</w:t>
      </w:r>
    </w:p>
    <w:p w14:paraId="75B7D7E6">
      <w:pPr>
        <w:numPr>
          <w:ilvl w:val="0"/>
          <w:numId w:val="9"/>
        </w:numPr>
        <w:ind w:left="0" w:firstLine="480"/>
        <w:rPr>
          <w:rFonts w:hint="eastAsia"/>
        </w:rPr>
      </w:pPr>
      <w:r>
        <w:rPr>
          <w:rFonts w:hint="eastAsia"/>
        </w:rPr>
        <w:t>《岳阳市市本级政务信息化项目建设管理办法》；</w:t>
      </w:r>
    </w:p>
    <w:p w14:paraId="75B7D7E7">
      <w:pPr>
        <w:numPr>
          <w:ilvl w:val="0"/>
          <w:numId w:val="9"/>
        </w:numPr>
        <w:ind w:left="0" w:firstLine="480"/>
        <w:rPr>
          <w:rFonts w:hint="eastAsia"/>
        </w:rPr>
      </w:pPr>
      <w:r>
        <w:rPr>
          <w:rFonts w:hint="eastAsia"/>
          <w:lang w:val="en-US"/>
        </w:rPr>
        <w:t>《岳阳市政务信息化项目建设方案编制指南》（2024版）。</w:t>
      </w:r>
    </w:p>
    <w:p w14:paraId="75B7D7E8">
      <w:pPr>
        <w:pStyle w:val="4"/>
        <w:rPr>
          <w:rFonts w:hint="eastAsia"/>
        </w:rPr>
      </w:pPr>
      <w:bookmarkStart w:id="15" w:name="_Toc4984"/>
      <w:bookmarkStart w:id="16" w:name="_Toc29724"/>
      <w:r>
        <w:rPr>
          <w:rFonts w:hint="eastAsia"/>
        </w:rPr>
        <w:t>技术依据</w:t>
      </w:r>
      <w:bookmarkEnd w:id="15"/>
      <w:bookmarkEnd w:id="16"/>
    </w:p>
    <w:p w14:paraId="75B7D7E9">
      <w:pPr>
        <w:numPr>
          <w:ilvl w:val="0"/>
          <w:numId w:val="10"/>
        </w:numPr>
        <w:ind w:left="0" w:firstLine="480"/>
        <w:rPr>
          <w:rFonts w:hint="eastAsia"/>
        </w:rPr>
      </w:pPr>
      <w:r>
        <w:rPr>
          <w:rFonts w:hint="eastAsia" w:ascii="仿宋_GB2312" w:hAnsi="仿宋_GB2312" w:cs="仿宋_GB2312"/>
        </w:rPr>
        <w:t>《建筑设计防火规范》（GB55037-2022）</w:t>
      </w:r>
      <w:r>
        <w:rPr>
          <w:rFonts w:hint="eastAsia"/>
        </w:rPr>
        <w:t>；</w:t>
      </w:r>
    </w:p>
    <w:p w14:paraId="75B7D7EA">
      <w:pPr>
        <w:numPr>
          <w:ilvl w:val="0"/>
          <w:numId w:val="10"/>
        </w:numPr>
        <w:ind w:left="0" w:firstLine="480"/>
        <w:rPr>
          <w:rFonts w:hint="eastAsia"/>
        </w:rPr>
      </w:pPr>
      <w:r>
        <w:rPr>
          <w:rFonts w:hint="eastAsia"/>
        </w:rPr>
        <w:t>《数据中心能效限定值及能效等级》 （</w:t>
      </w:r>
      <w:r>
        <w:t>GB40879-2021</w:t>
      </w:r>
      <w:r>
        <w:rPr>
          <w:rFonts w:hint="eastAsia"/>
        </w:rPr>
        <w:t>）；</w:t>
      </w:r>
    </w:p>
    <w:p w14:paraId="75B7D7EB">
      <w:pPr>
        <w:numPr>
          <w:ilvl w:val="0"/>
          <w:numId w:val="10"/>
        </w:numPr>
        <w:ind w:left="0" w:firstLine="480"/>
        <w:rPr>
          <w:rFonts w:hint="eastAsia"/>
        </w:rPr>
      </w:pPr>
      <w:r>
        <w:rPr>
          <w:rFonts w:hint="eastAsia"/>
        </w:rPr>
        <w:t>《电子信息系统机房设计规范》（GB50174-2008）；</w:t>
      </w:r>
    </w:p>
    <w:p w14:paraId="75B7D7EC">
      <w:pPr>
        <w:numPr>
          <w:ilvl w:val="0"/>
          <w:numId w:val="10"/>
        </w:numPr>
        <w:ind w:left="0" w:firstLine="480"/>
        <w:rPr>
          <w:rFonts w:hint="eastAsia"/>
        </w:rPr>
      </w:pPr>
      <w:r>
        <w:rPr>
          <w:rFonts w:hint="eastAsia"/>
        </w:rPr>
        <w:t>《模块化组合式机房设计规范》（</w:t>
      </w:r>
      <w:r>
        <w:t>YD/T5239-2018</w:t>
      </w:r>
      <w:r>
        <w:rPr>
          <w:rFonts w:hint="eastAsia"/>
        </w:rPr>
        <w:t>）；</w:t>
      </w:r>
    </w:p>
    <w:p w14:paraId="75B7D7ED">
      <w:pPr>
        <w:numPr>
          <w:ilvl w:val="0"/>
          <w:numId w:val="10"/>
        </w:numPr>
        <w:ind w:left="0" w:firstLine="480"/>
        <w:rPr>
          <w:rFonts w:hint="eastAsia"/>
        </w:rPr>
      </w:pPr>
      <w:r>
        <w:rPr>
          <w:rFonts w:hint="eastAsia"/>
        </w:rPr>
        <w:t>《模块化通信机房技术要求》（</w:t>
      </w:r>
      <w:r>
        <w:t>YD/T3004-2016</w:t>
      </w:r>
      <w:r>
        <w:rPr>
          <w:rFonts w:hint="eastAsia"/>
        </w:rPr>
        <w:t>）；</w:t>
      </w:r>
    </w:p>
    <w:p w14:paraId="75B7D7EE">
      <w:pPr>
        <w:numPr>
          <w:ilvl w:val="0"/>
          <w:numId w:val="10"/>
        </w:numPr>
        <w:ind w:left="0" w:firstLine="480"/>
        <w:rPr>
          <w:rFonts w:hint="eastAsia"/>
        </w:rPr>
      </w:pPr>
      <w:r>
        <w:rPr>
          <w:rFonts w:hint="eastAsia"/>
        </w:rPr>
        <w:t>《入侵和紧急报警系统告警装置技术要求》（</w:t>
      </w:r>
      <w:r>
        <w:t>GB/T36546-2018</w:t>
      </w:r>
      <w:r>
        <w:rPr>
          <w:rFonts w:hint="eastAsia"/>
        </w:rPr>
        <w:t>）；</w:t>
      </w:r>
    </w:p>
    <w:p w14:paraId="75B7D7EF">
      <w:pPr>
        <w:numPr>
          <w:ilvl w:val="0"/>
          <w:numId w:val="10"/>
        </w:numPr>
        <w:ind w:left="0" w:firstLine="480"/>
        <w:rPr>
          <w:rFonts w:hint="eastAsia"/>
        </w:rPr>
      </w:pPr>
      <w:r>
        <w:rPr>
          <w:rFonts w:hint="eastAsia"/>
        </w:rPr>
        <w:t>《入侵和紧急报警系统技术要求》（</w:t>
      </w:r>
      <w:r>
        <w:t>GB/T32581-2016</w:t>
      </w:r>
      <w:r>
        <w:rPr>
          <w:rFonts w:hint="eastAsia"/>
        </w:rPr>
        <w:t>）；</w:t>
      </w:r>
    </w:p>
    <w:p w14:paraId="75B7D7F0">
      <w:pPr>
        <w:numPr>
          <w:ilvl w:val="0"/>
          <w:numId w:val="10"/>
        </w:numPr>
        <w:ind w:left="0" w:firstLine="480"/>
        <w:rPr>
          <w:rFonts w:hint="eastAsia"/>
        </w:rPr>
      </w:pPr>
      <w:r>
        <w:rPr>
          <w:rFonts w:hint="eastAsia"/>
        </w:rPr>
        <w:t>《入侵和紧急报警系统控制指示设备》（</w:t>
      </w:r>
      <w:r>
        <w:t>GB12663-2019</w:t>
      </w:r>
      <w:r>
        <w:rPr>
          <w:rFonts w:hint="eastAsia"/>
        </w:rPr>
        <w:t>）；</w:t>
      </w:r>
    </w:p>
    <w:p w14:paraId="75B7D7F1">
      <w:pPr>
        <w:numPr>
          <w:ilvl w:val="0"/>
          <w:numId w:val="10"/>
        </w:numPr>
        <w:ind w:left="0" w:firstLine="480"/>
        <w:rPr>
          <w:rFonts w:hint="eastAsia"/>
        </w:rPr>
      </w:pPr>
      <w:r>
        <w:rPr>
          <w:rFonts w:hint="eastAsia"/>
        </w:rPr>
        <w:t>《出入口控制系统技术要求》（GB/T37078-2018）；</w:t>
      </w:r>
    </w:p>
    <w:p w14:paraId="75B7D7F2">
      <w:pPr>
        <w:numPr>
          <w:ilvl w:val="0"/>
          <w:numId w:val="10"/>
        </w:numPr>
        <w:ind w:left="0" w:firstLine="480"/>
        <w:rPr>
          <w:rFonts w:hint="eastAsia"/>
        </w:rPr>
      </w:pPr>
      <w:r>
        <w:rPr>
          <w:rFonts w:hint="eastAsia"/>
        </w:rPr>
        <w:t>《中华人民共和国计算机信息系统安全保护条例》（国务院147号令）；</w:t>
      </w:r>
    </w:p>
    <w:p w14:paraId="75B7D7F3">
      <w:pPr>
        <w:numPr>
          <w:ilvl w:val="0"/>
          <w:numId w:val="10"/>
        </w:numPr>
        <w:ind w:left="0" w:firstLine="480"/>
        <w:rPr>
          <w:rFonts w:hint="eastAsia"/>
        </w:rPr>
      </w:pPr>
      <w:r>
        <w:rPr>
          <w:rFonts w:hint="eastAsia"/>
        </w:rPr>
        <w:t>《信息安全技术网络安全等级保护基本要求第1部分：安全通用要求》（GB/T22239-2019）；</w:t>
      </w:r>
    </w:p>
    <w:p w14:paraId="75B7D7F4">
      <w:pPr>
        <w:numPr>
          <w:ilvl w:val="0"/>
          <w:numId w:val="10"/>
        </w:numPr>
        <w:ind w:left="0" w:firstLine="480"/>
        <w:rPr>
          <w:rFonts w:hint="eastAsia"/>
        </w:rPr>
      </w:pPr>
      <w:r>
        <w:rPr>
          <w:rFonts w:hint="eastAsia"/>
        </w:rPr>
        <w:t>《信息安全技术网络安全等级保护定级指南》（GB/T22240－2017）；</w:t>
      </w:r>
    </w:p>
    <w:p w14:paraId="75B7D7F5">
      <w:pPr>
        <w:numPr>
          <w:ilvl w:val="0"/>
          <w:numId w:val="10"/>
        </w:numPr>
        <w:ind w:left="0" w:firstLine="480"/>
        <w:rPr>
          <w:rFonts w:hint="eastAsia"/>
        </w:rPr>
      </w:pPr>
      <w:r>
        <w:rPr>
          <w:rFonts w:hint="eastAsia"/>
        </w:rPr>
        <w:t>《信息安全技术网络安全等级保护设计技术要求第1部分：通用设计要求》（GB/T25070.1-2010）；</w:t>
      </w:r>
    </w:p>
    <w:p w14:paraId="75B7D7F6">
      <w:pPr>
        <w:numPr>
          <w:ilvl w:val="0"/>
          <w:numId w:val="10"/>
        </w:numPr>
        <w:ind w:left="0" w:firstLine="480"/>
        <w:rPr>
          <w:rFonts w:hint="eastAsia"/>
        </w:rPr>
      </w:pPr>
      <w:r>
        <w:rPr>
          <w:rFonts w:hint="eastAsia"/>
        </w:rPr>
        <w:t>《信息安全技术信息系统安全等级保护实施指南》（GB/T25058-2019）；</w:t>
      </w:r>
    </w:p>
    <w:p w14:paraId="75B7D7F7">
      <w:pPr>
        <w:numPr>
          <w:ilvl w:val="0"/>
          <w:numId w:val="10"/>
        </w:numPr>
        <w:ind w:left="0" w:firstLine="480"/>
        <w:rPr>
          <w:rFonts w:hint="eastAsia"/>
        </w:rPr>
      </w:pPr>
      <w:r>
        <w:rPr>
          <w:rFonts w:hint="eastAsia"/>
        </w:rPr>
        <w:t>《信息安全技术网络安全等级保护测评要求第1部分：安全通用要求》（GB/T28448-2019）；</w:t>
      </w:r>
    </w:p>
    <w:p w14:paraId="75B7D7F8">
      <w:pPr>
        <w:numPr>
          <w:ilvl w:val="0"/>
          <w:numId w:val="10"/>
        </w:numPr>
        <w:ind w:left="0" w:firstLine="480"/>
        <w:rPr>
          <w:rFonts w:hint="eastAsia"/>
          <w:lang w:val="en-US"/>
        </w:rPr>
      </w:pPr>
      <w:r>
        <w:rPr>
          <w:rFonts w:hint="eastAsia"/>
        </w:rPr>
        <w:t>《信息安全技术网络安全等级保护测评过程指南》（GB/T28449-2018）；</w:t>
      </w:r>
    </w:p>
    <w:p w14:paraId="75B7D7F9">
      <w:pPr>
        <w:numPr>
          <w:ilvl w:val="0"/>
          <w:numId w:val="10"/>
        </w:numPr>
        <w:ind w:left="0" w:firstLine="480"/>
        <w:rPr>
          <w:rFonts w:hint="eastAsia"/>
          <w:lang w:val="en-US"/>
        </w:rPr>
      </w:pPr>
      <w:r>
        <w:rPr>
          <w:rFonts w:hint="eastAsia"/>
          <w:lang w:val="en-US"/>
        </w:rPr>
        <w:t>《无人机通用标准》（民用）（中国(深圳)无人机产业联盟）；</w:t>
      </w:r>
    </w:p>
    <w:p w14:paraId="75B7D7FA">
      <w:pPr>
        <w:numPr>
          <w:ilvl w:val="0"/>
          <w:numId w:val="10"/>
        </w:numPr>
        <w:ind w:left="0" w:firstLine="480"/>
        <w:rPr>
          <w:rFonts w:hint="eastAsia"/>
          <w:lang w:val="en-US"/>
        </w:rPr>
      </w:pPr>
      <w:r>
        <w:rPr>
          <w:rFonts w:hint="eastAsia"/>
          <w:lang w:val="en-US"/>
        </w:rPr>
        <w:t>《无人驾驶航空器飞行管理暂行条例》（2023）；</w:t>
      </w:r>
    </w:p>
    <w:p w14:paraId="75B7D7FB">
      <w:pPr>
        <w:numPr>
          <w:ilvl w:val="0"/>
          <w:numId w:val="10"/>
        </w:numPr>
        <w:ind w:left="0" w:firstLine="480"/>
        <w:rPr>
          <w:rFonts w:hint="eastAsia"/>
          <w:lang w:val="en-US"/>
        </w:rPr>
      </w:pPr>
      <w:r>
        <w:rPr>
          <w:rFonts w:hint="eastAsia"/>
          <w:lang w:val="en-US"/>
        </w:rPr>
        <w:t>《民用无人驾驶航空器系统空中交通管理办法》(MD-TM-2016-004)；</w:t>
      </w:r>
    </w:p>
    <w:p w14:paraId="75B7D7FC">
      <w:pPr>
        <w:numPr>
          <w:ilvl w:val="0"/>
          <w:numId w:val="10"/>
        </w:numPr>
        <w:ind w:left="0" w:firstLine="480"/>
        <w:rPr>
          <w:rFonts w:hint="eastAsia"/>
          <w:lang w:val="en-US"/>
        </w:rPr>
      </w:pPr>
      <w:r>
        <w:rPr>
          <w:rFonts w:hint="eastAsia"/>
          <w:lang w:val="en-US"/>
        </w:rPr>
        <w:t>《民用无人驾驶航空器系统安全要求》（GB 42590-2023）；</w:t>
      </w:r>
    </w:p>
    <w:p w14:paraId="75B7D7FD">
      <w:pPr>
        <w:numPr>
          <w:ilvl w:val="0"/>
          <w:numId w:val="10"/>
        </w:numPr>
        <w:ind w:left="0" w:firstLine="480"/>
        <w:rPr>
          <w:rFonts w:hint="eastAsia"/>
          <w:lang w:val="en-US"/>
        </w:rPr>
      </w:pPr>
      <w:r>
        <w:rPr>
          <w:rFonts w:hint="eastAsia"/>
          <w:lang w:val="en-US"/>
        </w:rPr>
        <w:t>《中华人民共和国民用航空法》（2016修订）；</w:t>
      </w:r>
    </w:p>
    <w:p w14:paraId="75B7D7FE">
      <w:pPr>
        <w:numPr>
          <w:ilvl w:val="0"/>
          <w:numId w:val="10"/>
        </w:numPr>
        <w:ind w:left="0" w:firstLine="480"/>
        <w:rPr>
          <w:rFonts w:hint="eastAsia"/>
          <w:lang w:val="en-US"/>
        </w:rPr>
      </w:pPr>
      <w:r>
        <w:rPr>
          <w:rFonts w:hint="eastAsia"/>
          <w:lang w:val="en-US"/>
        </w:rPr>
        <w:t>《无人机系统通用要求》（GJB5433-2005）；</w:t>
      </w:r>
    </w:p>
    <w:p w14:paraId="75B7D7FF">
      <w:pPr>
        <w:numPr>
          <w:ilvl w:val="0"/>
          <w:numId w:val="10"/>
        </w:numPr>
        <w:ind w:left="0" w:firstLine="480"/>
        <w:rPr>
          <w:rFonts w:hint="eastAsia"/>
        </w:rPr>
      </w:pPr>
      <w:r>
        <w:rPr>
          <w:rFonts w:hint="eastAsia"/>
          <w:lang w:val="en-US"/>
        </w:rPr>
        <w:t>《无人机系统飞行试验通用要求》（GJB5434-2005）。</w:t>
      </w:r>
    </w:p>
    <w:p w14:paraId="75B7D800">
      <w:pPr>
        <w:pStyle w:val="4"/>
        <w:rPr>
          <w:rFonts w:hint="eastAsia"/>
        </w:rPr>
      </w:pPr>
      <w:bookmarkStart w:id="17" w:name="_Toc16137"/>
      <w:bookmarkStart w:id="18" w:name="_Toc1916"/>
      <w:r>
        <w:rPr>
          <w:rFonts w:hint="eastAsia"/>
          <w:lang w:val="en-US" w:eastAsia="zh-CN"/>
        </w:rPr>
        <w:t>其他</w:t>
      </w:r>
      <w:r>
        <w:rPr>
          <w:rFonts w:hint="eastAsia"/>
        </w:rPr>
        <w:t>依据</w:t>
      </w:r>
      <w:bookmarkEnd w:id="17"/>
      <w:bookmarkEnd w:id="18"/>
    </w:p>
    <w:p w14:paraId="75B7D801">
      <w:pPr>
        <w:numPr>
          <w:ilvl w:val="0"/>
          <w:numId w:val="11"/>
        </w:numPr>
        <w:ind w:left="0" w:firstLine="480"/>
        <w:rPr>
          <w:rFonts w:hint="eastAsia"/>
        </w:rPr>
      </w:pPr>
      <w:r>
        <w:t>《软件工程软件开发成本度量规范》（GB/T36964</w:t>
      </w:r>
      <w:r>
        <w:rPr>
          <w:rFonts w:hint="eastAsia"/>
        </w:rPr>
        <w:t>-</w:t>
      </w:r>
      <w:r>
        <w:t>2018）；</w:t>
      </w:r>
    </w:p>
    <w:p w14:paraId="75B7D802">
      <w:pPr>
        <w:numPr>
          <w:ilvl w:val="0"/>
          <w:numId w:val="11"/>
        </w:numPr>
        <w:ind w:left="0" w:firstLine="480"/>
        <w:rPr>
          <w:rFonts w:hint="eastAsia"/>
        </w:rPr>
      </w:pPr>
      <w:r>
        <w:t>《电子建设工程概（预）算编制办法及计价依据》（</w:t>
      </w:r>
      <w:r>
        <w:rPr>
          <w:rFonts w:hint="eastAsia"/>
        </w:rPr>
        <w:t>HYD41-</w:t>
      </w:r>
      <w:r>
        <w:t>2015）；</w:t>
      </w:r>
    </w:p>
    <w:p w14:paraId="75B7D803">
      <w:pPr>
        <w:numPr>
          <w:ilvl w:val="0"/>
          <w:numId w:val="11"/>
        </w:numPr>
        <w:ind w:left="0" w:firstLine="480"/>
        <w:rPr>
          <w:rFonts w:hint="eastAsia"/>
        </w:rPr>
      </w:pPr>
      <w:r>
        <w:t>《工业和信息化部办公厅关于发布</w:t>
      </w:r>
      <w:r>
        <w:rPr>
          <w:rFonts w:hint="eastAsia"/>
        </w:rPr>
        <w:t>〈</w:t>
      </w:r>
      <w:r>
        <w:t>电子建设工程概（预）算编制办法及计价依据</w:t>
      </w:r>
      <w:r>
        <w:rPr>
          <w:rFonts w:hint="eastAsia"/>
        </w:rPr>
        <w:t>〉</w:t>
      </w:r>
      <w:r>
        <w:t>和</w:t>
      </w:r>
      <w:r>
        <w:rPr>
          <w:rFonts w:hint="eastAsia"/>
        </w:rPr>
        <w:t>〈</w:t>
      </w:r>
      <w:r>
        <w:t>电子建设工程预算定额</w:t>
      </w:r>
      <w:r>
        <w:rPr>
          <w:rFonts w:hint="eastAsia"/>
        </w:rPr>
        <w:t>〉的通知》</w:t>
      </w:r>
      <w:r>
        <w:t>（工信厅规〔2015〕77号）；</w:t>
      </w:r>
    </w:p>
    <w:p w14:paraId="75B7D804">
      <w:pPr>
        <w:numPr>
          <w:ilvl w:val="0"/>
          <w:numId w:val="11"/>
        </w:numPr>
        <w:ind w:left="0" w:firstLine="480"/>
        <w:rPr>
          <w:rFonts w:hint="eastAsia"/>
        </w:rPr>
      </w:pPr>
      <w:r>
        <w:rPr>
          <w:rFonts w:hint="eastAsia"/>
        </w:rPr>
        <w:t>中国软件行业协会发布的《软件开发和服务项目价格构成及评估方法》；</w:t>
      </w:r>
    </w:p>
    <w:p w14:paraId="75B7D805">
      <w:pPr>
        <w:numPr>
          <w:ilvl w:val="0"/>
          <w:numId w:val="11"/>
        </w:numPr>
        <w:ind w:left="0" w:firstLine="480"/>
        <w:rPr>
          <w:rFonts w:hint="eastAsia"/>
        </w:rPr>
      </w:pPr>
      <w:r>
        <w:rPr>
          <w:rFonts w:hint="eastAsia"/>
        </w:rPr>
        <w:t>国家市场监督管理总局、国家标准化管理委员会发布《软件工程软件开发成本度量规范》（GB/T36964-2018）；</w:t>
      </w:r>
    </w:p>
    <w:p w14:paraId="75B7D806">
      <w:pPr>
        <w:numPr>
          <w:ilvl w:val="0"/>
          <w:numId w:val="11"/>
        </w:numPr>
        <w:ind w:left="0" w:firstLine="480"/>
        <w:rPr>
          <w:rFonts w:hint="eastAsia"/>
        </w:rPr>
      </w:pPr>
      <w:r>
        <w:rPr>
          <w:rFonts w:hint="eastAsia"/>
        </w:rPr>
        <w:t>《</w:t>
      </w:r>
      <w:r>
        <w:t>电子政务工程造价指导书（第三版）》（2019版）；</w:t>
      </w:r>
    </w:p>
    <w:p w14:paraId="75B7D807">
      <w:pPr>
        <w:numPr>
          <w:ilvl w:val="0"/>
          <w:numId w:val="11"/>
        </w:numPr>
        <w:ind w:left="0" w:firstLine="480"/>
        <w:rPr>
          <w:rFonts w:hint="eastAsia"/>
        </w:rPr>
      </w:pPr>
      <w:r>
        <w:rPr>
          <w:rFonts w:hint="eastAsia"/>
        </w:rPr>
        <w:t>《国家电子政务工程项目应用软件第三方测试规范》（GW0014－2017）；</w:t>
      </w:r>
    </w:p>
    <w:p w14:paraId="75B7D808">
      <w:pPr>
        <w:numPr>
          <w:ilvl w:val="0"/>
          <w:numId w:val="11"/>
        </w:numPr>
        <w:ind w:left="0" w:firstLine="480"/>
        <w:rPr>
          <w:rFonts w:hint="eastAsia"/>
        </w:rPr>
      </w:pPr>
      <w:r>
        <w:t>湖南省人民政府办公厅关于印发〈湖南省省直单位政务信息系统项目建设管理办法〉的通知》（湘政办发</w:t>
      </w:r>
      <w:r>
        <w:rPr>
          <w:rFonts w:hint="eastAsia"/>
        </w:rPr>
        <w:t>〔2020〕34号</w:t>
      </w:r>
      <w:r>
        <w:t>）</w:t>
      </w:r>
      <w:r>
        <w:rPr>
          <w:rFonts w:hint="eastAsia"/>
        </w:rPr>
        <w:t>；</w:t>
      </w:r>
    </w:p>
    <w:p w14:paraId="75B7D809">
      <w:pPr>
        <w:numPr>
          <w:ilvl w:val="0"/>
          <w:numId w:val="11"/>
        </w:numPr>
        <w:ind w:left="0" w:firstLine="480"/>
        <w:rPr>
          <w:rFonts w:hint="eastAsia"/>
        </w:rPr>
      </w:pPr>
      <w:r>
        <w:rPr>
          <w:rFonts w:hint="eastAsia"/>
        </w:rPr>
        <w:t>《财政部关于印发基本建设项目建设成本管理规定的通知》（财建〔2016〕504号）；</w:t>
      </w:r>
    </w:p>
    <w:p w14:paraId="75B7D80A">
      <w:pPr>
        <w:numPr>
          <w:ilvl w:val="0"/>
          <w:numId w:val="11"/>
        </w:numPr>
        <w:ind w:left="0" w:firstLine="480"/>
        <w:rPr>
          <w:rFonts w:hint="eastAsia"/>
        </w:rPr>
      </w:pPr>
      <w:r>
        <w:rPr>
          <w:rFonts w:hint="eastAsia"/>
        </w:rPr>
        <w:t>湖南省住房和城乡建设厅关于印发2020《湖南省建设工程计价办法》及《湖南省建设工程消耗量标准》的通知(湘建价(2020）56号）；</w:t>
      </w:r>
    </w:p>
    <w:p w14:paraId="75B7D80B">
      <w:pPr>
        <w:numPr>
          <w:ilvl w:val="0"/>
          <w:numId w:val="11"/>
        </w:numPr>
        <w:ind w:left="0" w:firstLine="480"/>
        <w:rPr>
          <w:rFonts w:hint="eastAsia"/>
        </w:rPr>
      </w:pPr>
      <w:r>
        <w:rPr>
          <w:rFonts w:hint="eastAsia"/>
        </w:rPr>
        <w:t>湖南省住房和城乡建设厅颁发的《湖南省政府投资建设工程项目估算指标》(湘建价〔2017〕54号）；</w:t>
      </w:r>
    </w:p>
    <w:p w14:paraId="75B7D80C">
      <w:pPr>
        <w:numPr>
          <w:ilvl w:val="0"/>
          <w:numId w:val="11"/>
        </w:numPr>
        <w:ind w:left="0" w:firstLine="480"/>
        <w:rPr>
          <w:rFonts w:hint="eastAsia"/>
        </w:rPr>
      </w:pPr>
      <w:r>
        <w:rPr>
          <w:rFonts w:hint="eastAsia"/>
        </w:rPr>
        <w:t>国家有关部门发布的相关投资政策、法规；</w:t>
      </w:r>
    </w:p>
    <w:p w14:paraId="75B7D80D">
      <w:pPr>
        <w:numPr>
          <w:ilvl w:val="0"/>
          <w:numId w:val="11"/>
        </w:numPr>
        <w:ind w:left="0" w:firstLine="480"/>
        <w:rPr>
          <w:rFonts w:hint="eastAsia"/>
        </w:rPr>
      </w:pPr>
      <w:r>
        <w:rPr>
          <w:rFonts w:hint="eastAsia"/>
        </w:rPr>
        <w:t>建筑工程参照湖南省预算、概算定额及相应建筑指标估算；</w:t>
      </w:r>
    </w:p>
    <w:p w14:paraId="75B7D80E">
      <w:pPr>
        <w:numPr>
          <w:ilvl w:val="0"/>
          <w:numId w:val="11"/>
        </w:numPr>
        <w:ind w:left="0" w:firstLine="480"/>
        <w:rPr>
          <w:rFonts w:hint="eastAsia"/>
        </w:rPr>
      </w:pPr>
      <w:r>
        <w:rPr>
          <w:rFonts w:hint="eastAsia"/>
        </w:rPr>
        <w:t>考虑岳阳市近年来类似项目投资概算，同时结合岳阳市社会平均成本情况和该项目自身情况对项目投资概算进行调整；</w:t>
      </w:r>
    </w:p>
    <w:p w14:paraId="75B7D80F">
      <w:pPr>
        <w:numPr>
          <w:ilvl w:val="0"/>
          <w:numId w:val="11"/>
        </w:numPr>
        <w:ind w:left="0" w:firstLine="480"/>
        <w:rPr>
          <w:rFonts w:hint="eastAsia"/>
        </w:rPr>
      </w:pPr>
      <w:r>
        <w:rPr>
          <w:rFonts w:hint="eastAsia"/>
        </w:rPr>
        <w:t>主要设备价格均参照市场询价及各厂家报价；</w:t>
      </w:r>
    </w:p>
    <w:p w14:paraId="75B7D810">
      <w:pPr>
        <w:numPr>
          <w:ilvl w:val="0"/>
          <w:numId w:val="11"/>
        </w:numPr>
        <w:ind w:left="0" w:firstLine="480"/>
        <w:rPr>
          <w:rFonts w:hint="eastAsia"/>
        </w:rPr>
      </w:pPr>
      <w:r>
        <w:rPr>
          <w:rFonts w:hint="eastAsia"/>
        </w:rPr>
        <w:t>《湘建建(2024）19号》；</w:t>
      </w:r>
    </w:p>
    <w:p w14:paraId="75B7D811">
      <w:pPr>
        <w:numPr>
          <w:ilvl w:val="0"/>
          <w:numId w:val="11"/>
        </w:numPr>
        <w:ind w:left="0" w:firstLine="480"/>
        <w:rPr>
          <w:rFonts w:hint="eastAsia"/>
        </w:rPr>
      </w:pPr>
      <w:r>
        <w:rPr>
          <w:rFonts w:hint="eastAsia"/>
        </w:rPr>
        <w:t>委托方提供的基础资料和数据。</w:t>
      </w:r>
    </w:p>
    <w:p w14:paraId="75B7D812">
      <w:pPr>
        <w:pStyle w:val="3"/>
        <w:rPr>
          <w:lang w:val="en-US"/>
        </w:rPr>
      </w:pPr>
      <w:bookmarkStart w:id="19" w:name="_Toc26358"/>
      <w:bookmarkStart w:id="20" w:name="_Toc6692"/>
      <w:r>
        <w:rPr>
          <w:rFonts w:hint="eastAsia"/>
          <w:lang w:val="en-US"/>
        </w:rPr>
        <w:t>项目绩效指标</w:t>
      </w:r>
      <w:bookmarkEnd w:id="19"/>
      <w:bookmarkEnd w:id="20"/>
    </w:p>
    <w:tbl>
      <w:tblPr>
        <w:tblStyle w:val="38"/>
        <w:tblW w:w="5000" w:type="pct"/>
        <w:tblInd w:w="0" w:type="dxa"/>
        <w:tblLayout w:type="autofit"/>
        <w:tblCellMar>
          <w:top w:w="0" w:type="dxa"/>
          <w:left w:w="108" w:type="dxa"/>
          <w:bottom w:w="0" w:type="dxa"/>
          <w:right w:w="108" w:type="dxa"/>
        </w:tblCellMar>
      </w:tblPr>
      <w:tblGrid>
        <w:gridCol w:w="1661"/>
        <w:gridCol w:w="1661"/>
        <w:gridCol w:w="1661"/>
        <w:gridCol w:w="1661"/>
        <w:gridCol w:w="1662"/>
      </w:tblGrid>
      <w:tr w14:paraId="75B7D818">
        <w:tblPrEx>
          <w:tblCellMar>
            <w:top w:w="0" w:type="dxa"/>
            <w:left w:w="108" w:type="dxa"/>
            <w:bottom w:w="0" w:type="dxa"/>
            <w:right w:w="108" w:type="dxa"/>
          </w:tblCellMar>
        </w:tblPrEx>
        <w:trPr>
          <w:trHeight w:val="576" w:hRule="atLeast"/>
          <w:tblHeader/>
        </w:trPr>
        <w:tc>
          <w:tcPr>
            <w:tcW w:w="1000" w:type="pct"/>
            <w:tcBorders>
              <w:top w:val="single" w:color="auto" w:sz="4" w:space="0"/>
              <w:left w:val="single" w:color="auto" w:sz="4" w:space="0"/>
              <w:bottom w:val="single" w:color="auto" w:sz="4" w:space="0"/>
              <w:right w:val="single" w:color="auto" w:sz="4" w:space="0"/>
            </w:tcBorders>
            <w:vAlign w:val="center"/>
          </w:tcPr>
          <w:p w14:paraId="75B7D813">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序号</w:t>
            </w:r>
          </w:p>
        </w:tc>
        <w:tc>
          <w:tcPr>
            <w:tcW w:w="1000" w:type="pct"/>
            <w:tcBorders>
              <w:top w:val="single" w:color="auto" w:sz="4" w:space="0"/>
              <w:left w:val="nil"/>
              <w:bottom w:val="single" w:color="auto" w:sz="4" w:space="0"/>
              <w:right w:val="single" w:color="auto" w:sz="4" w:space="0"/>
            </w:tcBorders>
            <w:vAlign w:val="center"/>
          </w:tcPr>
          <w:p w14:paraId="75B7D814">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一级指标</w:t>
            </w:r>
          </w:p>
        </w:tc>
        <w:tc>
          <w:tcPr>
            <w:tcW w:w="1000" w:type="pct"/>
            <w:tcBorders>
              <w:top w:val="single" w:color="auto" w:sz="4" w:space="0"/>
              <w:left w:val="nil"/>
              <w:bottom w:val="single" w:color="auto" w:sz="4" w:space="0"/>
              <w:right w:val="single" w:color="auto" w:sz="4" w:space="0"/>
            </w:tcBorders>
            <w:vAlign w:val="center"/>
          </w:tcPr>
          <w:p w14:paraId="75B7D815">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二级指标</w:t>
            </w:r>
          </w:p>
        </w:tc>
        <w:tc>
          <w:tcPr>
            <w:tcW w:w="1000" w:type="pct"/>
            <w:tcBorders>
              <w:top w:val="single" w:color="auto" w:sz="4" w:space="0"/>
              <w:left w:val="nil"/>
              <w:bottom w:val="single" w:color="auto" w:sz="4" w:space="0"/>
              <w:right w:val="single" w:color="auto" w:sz="4" w:space="0"/>
            </w:tcBorders>
            <w:vAlign w:val="center"/>
          </w:tcPr>
          <w:p w14:paraId="75B7D816">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三级指标</w:t>
            </w:r>
          </w:p>
        </w:tc>
        <w:tc>
          <w:tcPr>
            <w:tcW w:w="1000" w:type="pct"/>
            <w:tcBorders>
              <w:top w:val="single" w:color="auto" w:sz="4" w:space="0"/>
              <w:left w:val="nil"/>
              <w:bottom w:val="single" w:color="auto" w:sz="4" w:space="0"/>
              <w:right w:val="single" w:color="auto" w:sz="4" w:space="0"/>
            </w:tcBorders>
            <w:vAlign w:val="center"/>
          </w:tcPr>
          <w:p w14:paraId="75B7D817">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指标值</w:t>
            </w:r>
          </w:p>
        </w:tc>
      </w:tr>
      <w:tr w14:paraId="75B7D81E">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1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w:t>
            </w:r>
          </w:p>
        </w:tc>
        <w:tc>
          <w:tcPr>
            <w:tcW w:w="1000" w:type="pct"/>
            <w:vMerge w:val="restart"/>
            <w:tcBorders>
              <w:top w:val="nil"/>
              <w:left w:val="single" w:color="auto" w:sz="4" w:space="0"/>
              <w:bottom w:val="single" w:color="auto" w:sz="4" w:space="0"/>
              <w:right w:val="single" w:color="auto" w:sz="4" w:space="0"/>
            </w:tcBorders>
            <w:vAlign w:val="center"/>
          </w:tcPr>
          <w:p w14:paraId="75B7D81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系统应用</w:t>
            </w:r>
          </w:p>
        </w:tc>
        <w:tc>
          <w:tcPr>
            <w:tcW w:w="1000" w:type="pct"/>
            <w:vMerge w:val="restart"/>
            <w:tcBorders>
              <w:top w:val="nil"/>
              <w:left w:val="single" w:color="auto" w:sz="4" w:space="0"/>
              <w:bottom w:val="single" w:color="auto" w:sz="4" w:space="0"/>
              <w:right w:val="single" w:color="auto" w:sz="4" w:space="0"/>
            </w:tcBorders>
            <w:vAlign w:val="center"/>
          </w:tcPr>
          <w:p w14:paraId="75B7D81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业务整体指标</w:t>
            </w:r>
          </w:p>
        </w:tc>
        <w:tc>
          <w:tcPr>
            <w:tcW w:w="1000" w:type="pct"/>
            <w:tcBorders>
              <w:top w:val="nil"/>
              <w:left w:val="nil"/>
              <w:bottom w:val="single" w:color="auto" w:sz="4" w:space="0"/>
              <w:right w:val="single" w:color="auto" w:sz="4" w:space="0"/>
            </w:tcBorders>
            <w:vAlign w:val="center"/>
          </w:tcPr>
          <w:p w14:paraId="75B7D81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年度业务量</w:t>
            </w:r>
          </w:p>
        </w:tc>
        <w:tc>
          <w:tcPr>
            <w:tcW w:w="1000" w:type="pct"/>
            <w:tcBorders>
              <w:top w:val="nil"/>
              <w:left w:val="nil"/>
              <w:bottom w:val="single" w:color="auto" w:sz="4" w:space="0"/>
              <w:right w:val="single" w:color="auto" w:sz="4" w:space="0"/>
            </w:tcBorders>
            <w:vAlign w:val="center"/>
          </w:tcPr>
          <w:p w14:paraId="75B7D81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≥30万条</w:t>
            </w:r>
          </w:p>
        </w:tc>
      </w:tr>
      <w:tr w14:paraId="75B7D824">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1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w:t>
            </w:r>
          </w:p>
        </w:tc>
        <w:tc>
          <w:tcPr>
            <w:tcW w:w="1000" w:type="pct"/>
            <w:vMerge w:val="continue"/>
            <w:tcBorders>
              <w:top w:val="nil"/>
              <w:left w:val="single" w:color="auto" w:sz="4" w:space="0"/>
              <w:bottom w:val="single" w:color="auto" w:sz="4" w:space="0"/>
              <w:right w:val="single" w:color="auto" w:sz="4" w:space="0"/>
            </w:tcBorders>
            <w:vAlign w:val="center"/>
          </w:tcPr>
          <w:p w14:paraId="75B7D820">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21">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2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系统用户数</w:t>
            </w:r>
          </w:p>
        </w:tc>
        <w:tc>
          <w:tcPr>
            <w:tcW w:w="1000" w:type="pct"/>
            <w:tcBorders>
              <w:top w:val="nil"/>
              <w:left w:val="nil"/>
              <w:bottom w:val="single" w:color="auto" w:sz="4" w:space="0"/>
              <w:right w:val="single" w:color="auto" w:sz="4" w:space="0"/>
            </w:tcBorders>
            <w:vAlign w:val="center"/>
          </w:tcPr>
          <w:p w14:paraId="75B7D82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≥500个</w:t>
            </w:r>
          </w:p>
        </w:tc>
      </w:tr>
      <w:tr w14:paraId="75B7D82A">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2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3</w:t>
            </w:r>
          </w:p>
        </w:tc>
        <w:tc>
          <w:tcPr>
            <w:tcW w:w="1000" w:type="pct"/>
            <w:vMerge w:val="continue"/>
            <w:tcBorders>
              <w:top w:val="nil"/>
              <w:left w:val="single" w:color="auto" w:sz="4" w:space="0"/>
              <w:bottom w:val="single" w:color="auto" w:sz="4" w:space="0"/>
              <w:right w:val="single" w:color="auto" w:sz="4" w:space="0"/>
            </w:tcBorders>
            <w:vAlign w:val="center"/>
          </w:tcPr>
          <w:p w14:paraId="75B7D826">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27">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2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功能访问量</w:t>
            </w:r>
          </w:p>
        </w:tc>
        <w:tc>
          <w:tcPr>
            <w:tcW w:w="1000" w:type="pct"/>
            <w:tcBorders>
              <w:top w:val="nil"/>
              <w:left w:val="nil"/>
              <w:bottom w:val="single" w:color="auto" w:sz="4" w:space="0"/>
              <w:right w:val="single" w:color="auto" w:sz="4" w:space="0"/>
            </w:tcBorders>
            <w:vAlign w:val="center"/>
          </w:tcPr>
          <w:p w14:paraId="75B7D82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≥2万次</w:t>
            </w:r>
          </w:p>
        </w:tc>
      </w:tr>
      <w:tr w14:paraId="75B7D830">
        <w:tblPrEx>
          <w:tblCellMar>
            <w:top w:w="0" w:type="dxa"/>
            <w:left w:w="108" w:type="dxa"/>
            <w:bottom w:w="0" w:type="dxa"/>
            <w:right w:w="108" w:type="dxa"/>
          </w:tblCellMar>
        </w:tblPrEx>
        <w:trPr>
          <w:trHeight w:val="1728" w:hRule="atLeast"/>
        </w:trPr>
        <w:tc>
          <w:tcPr>
            <w:tcW w:w="1000" w:type="pct"/>
            <w:tcBorders>
              <w:top w:val="nil"/>
              <w:left w:val="single" w:color="auto" w:sz="4" w:space="0"/>
              <w:bottom w:val="single" w:color="auto" w:sz="4" w:space="0"/>
              <w:right w:val="single" w:color="auto" w:sz="4" w:space="0"/>
            </w:tcBorders>
            <w:vAlign w:val="center"/>
          </w:tcPr>
          <w:p w14:paraId="75B7D82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4</w:t>
            </w:r>
          </w:p>
        </w:tc>
        <w:tc>
          <w:tcPr>
            <w:tcW w:w="1000" w:type="pct"/>
            <w:vMerge w:val="continue"/>
            <w:tcBorders>
              <w:top w:val="nil"/>
              <w:left w:val="single" w:color="auto" w:sz="4" w:space="0"/>
              <w:bottom w:val="single" w:color="auto" w:sz="4" w:space="0"/>
              <w:right w:val="single" w:color="auto" w:sz="4" w:space="0"/>
            </w:tcBorders>
            <w:vAlign w:val="center"/>
          </w:tcPr>
          <w:p w14:paraId="75B7D82C">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2D">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2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经济效益指标</w:t>
            </w:r>
          </w:p>
        </w:tc>
        <w:tc>
          <w:tcPr>
            <w:tcW w:w="1000" w:type="pct"/>
            <w:tcBorders>
              <w:top w:val="nil"/>
              <w:left w:val="nil"/>
              <w:bottom w:val="single" w:color="auto" w:sz="4" w:space="0"/>
              <w:right w:val="single" w:color="auto" w:sz="4" w:space="0"/>
            </w:tcBorders>
            <w:vAlign w:val="center"/>
          </w:tcPr>
          <w:p w14:paraId="75B7D82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降本增效，减少人力投入，提高巡护检测效率</w:t>
            </w:r>
          </w:p>
        </w:tc>
      </w:tr>
      <w:tr w14:paraId="75B7D836">
        <w:tblPrEx>
          <w:tblCellMar>
            <w:top w:w="0" w:type="dxa"/>
            <w:left w:w="108" w:type="dxa"/>
            <w:bottom w:w="0" w:type="dxa"/>
            <w:right w:w="108" w:type="dxa"/>
          </w:tblCellMar>
        </w:tblPrEx>
        <w:trPr>
          <w:trHeight w:val="864" w:hRule="atLeast"/>
        </w:trPr>
        <w:tc>
          <w:tcPr>
            <w:tcW w:w="1000" w:type="pct"/>
            <w:tcBorders>
              <w:top w:val="nil"/>
              <w:left w:val="single" w:color="auto" w:sz="4" w:space="0"/>
              <w:bottom w:val="single" w:color="auto" w:sz="4" w:space="0"/>
              <w:right w:val="single" w:color="auto" w:sz="4" w:space="0"/>
            </w:tcBorders>
            <w:vAlign w:val="center"/>
          </w:tcPr>
          <w:p w14:paraId="75B7D83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5</w:t>
            </w:r>
          </w:p>
        </w:tc>
        <w:tc>
          <w:tcPr>
            <w:tcW w:w="1000" w:type="pct"/>
            <w:vMerge w:val="continue"/>
            <w:tcBorders>
              <w:top w:val="nil"/>
              <w:left w:val="single" w:color="auto" w:sz="4" w:space="0"/>
              <w:bottom w:val="single" w:color="auto" w:sz="4" w:space="0"/>
              <w:right w:val="single" w:color="auto" w:sz="4" w:space="0"/>
            </w:tcBorders>
            <w:vAlign w:val="center"/>
          </w:tcPr>
          <w:p w14:paraId="75B7D832">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3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应用与推广情况</w:t>
            </w:r>
          </w:p>
        </w:tc>
        <w:tc>
          <w:tcPr>
            <w:tcW w:w="1000" w:type="pct"/>
            <w:tcBorders>
              <w:top w:val="nil"/>
              <w:left w:val="nil"/>
              <w:bottom w:val="single" w:color="auto" w:sz="4" w:space="0"/>
              <w:right w:val="single" w:color="auto" w:sz="4" w:space="0"/>
            </w:tcBorders>
            <w:vAlign w:val="center"/>
          </w:tcPr>
          <w:p w14:paraId="75B7D83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服务对象</w:t>
            </w:r>
          </w:p>
        </w:tc>
        <w:tc>
          <w:tcPr>
            <w:tcW w:w="1000" w:type="pct"/>
            <w:tcBorders>
              <w:top w:val="nil"/>
              <w:left w:val="nil"/>
              <w:bottom w:val="single" w:color="auto" w:sz="4" w:space="0"/>
              <w:right w:val="single" w:color="auto" w:sz="4" w:space="0"/>
            </w:tcBorders>
            <w:vAlign w:val="center"/>
          </w:tcPr>
          <w:p w14:paraId="75B7D83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林业局及各下属委办局</w:t>
            </w:r>
          </w:p>
        </w:tc>
      </w:tr>
      <w:tr w14:paraId="75B7D83C">
        <w:tblPrEx>
          <w:tblCellMar>
            <w:top w:w="0" w:type="dxa"/>
            <w:left w:w="108" w:type="dxa"/>
            <w:bottom w:w="0" w:type="dxa"/>
            <w:right w:w="108" w:type="dxa"/>
          </w:tblCellMar>
        </w:tblPrEx>
        <w:trPr>
          <w:trHeight w:val="1152" w:hRule="atLeast"/>
        </w:trPr>
        <w:tc>
          <w:tcPr>
            <w:tcW w:w="1000" w:type="pct"/>
            <w:tcBorders>
              <w:top w:val="nil"/>
              <w:left w:val="single" w:color="auto" w:sz="4" w:space="0"/>
              <w:bottom w:val="single" w:color="auto" w:sz="4" w:space="0"/>
              <w:right w:val="single" w:color="auto" w:sz="4" w:space="0"/>
            </w:tcBorders>
            <w:vAlign w:val="center"/>
          </w:tcPr>
          <w:p w14:paraId="75B7D83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6</w:t>
            </w:r>
          </w:p>
        </w:tc>
        <w:tc>
          <w:tcPr>
            <w:tcW w:w="1000" w:type="pct"/>
            <w:vMerge w:val="continue"/>
            <w:tcBorders>
              <w:top w:val="nil"/>
              <w:left w:val="single" w:color="auto" w:sz="4" w:space="0"/>
              <w:bottom w:val="single" w:color="auto" w:sz="4" w:space="0"/>
              <w:right w:val="single" w:color="auto" w:sz="4" w:space="0"/>
            </w:tcBorders>
            <w:vAlign w:val="center"/>
          </w:tcPr>
          <w:p w14:paraId="75B7D838">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3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系统性能</w:t>
            </w:r>
          </w:p>
        </w:tc>
        <w:tc>
          <w:tcPr>
            <w:tcW w:w="1000" w:type="pct"/>
            <w:tcBorders>
              <w:top w:val="nil"/>
              <w:left w:val="nil"/>
              <w:bottom w:val="single" w:color="auto" w:sz="4" w:space="0"/>
              <w:right w:val="single" w:color="auto" w:sz="4" w:space="0"/>
            </w:tcBorders>
            <w:vAlign w:val="center"/>
          </w:tcPr>
          <w:p w14:paraId="75B7D83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系统并发数</w:t>
            </w:r>
          </w:p>
        </w:tc>
        <w:tc>
          <w:tcPr>
            <w:tcW w:w="1000" w:type="pct"/>
            <w:tcBorders>
              <w:top w:val="nil"/>
              <w:left w:val="nil"/>
              <w:bottom w:val="single" w:color="auto" w:sz="4" w:space="0"/>
              <w:right w:val="single" w:color="auto" w:sz="4" w:space="0"/>
            </w:tcBorders>
            <w:vAlign w:val="center"/>
          </w:tcPr>
          <w:p w14:paraId="75B7D83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不少于用户总量10%约200个</w:t>
            </w:r>
          </w:p>
        </w:tc>
      </w:tr>
      <w:tr w14:paraId="75B7D842">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3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7</w:t>
            </w:r>
          </w:p>
        </w:tc>
        <w:tc>
          <w:tcPr>
            <w:tcW w:w="1000" w:type="pct"/>
            <w:vMerge w:val="restart"/>
            <w:tcBorders>
              <w:top w:val="nil"/>
              <w:left w:val="single" w:color="auto" w:sz="4" w:space="0"/>
              <w:bottom w:val="single" w:color="auto" w:sz="4" w:space="0"/>
              <w:right w:val="single" w:color="auto" w:sz="4" w:space="0"/>
            </w:tcBorders>
            <w:noWrap/>
            <w:vAlign w:val="center"/>
          </w:tcPr>
          <w:p w14:paraId="75B7D83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系统质量</w:t>
            </w:r>
          </w:p>
        </w:tc>
        <w:tc>
          <w:tcPr>
            <w:tcW w:w="1000" w:type="pct"/>
            <w:vMerge w:val="restart"/>
            <w:tcBorders>
              <w:top w:val="nil"/>
              <w:left w:val="single" w:color="auto" w:sz="4" w:space="0"/>
              <w:bottom w:val="single" w:color="auto" w:sz="4" w:space="0"/>
              <w:right w:val="single" w:color="auto" w:sz="4" w:space="0"/>
            </w:tcBorders>
            <w:noWrap/>
            <w:vAlign w:val="center"/>
          </w:tcPr>
          <w:p w14:paraId="75B7D83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系统性能</w:t>
            </w:r>
          </w:p>
        </w:tc>
        <w:tc>
          <w:tcPr>
            <w:tcW w:w="1000" w:type="pct"/>
            <w:tcBorders>
              <w:top w:val="nil"/>
              <w:left w:val="nil"/>
              <w:bottom w:val="single" w:color="auto" w:sz="4" w:space="0"/>
              <w:right w:val="single" w:color="auto" w:sz="4" w:space="0"/>
            </w:tcBorders>
            <w:vAlign w:val="center"/>
          </w:tcPr>
          <w:p w14:paraId="75B7D84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系统吞吐量</w:t>
            </w:r>
          </w:p>
        </w:tc>
        <w:tc>
          <w:tcPr>
            <w:tcW w:w="1000" w:type="pct"/>
            <w:tcBorders>
              <w:top w:val="nil"/>
              <w:left w:val="nil"/>
              <w:bottom w:val="single" w:color="auto" w:sz="4" w:space="0"/>
              <w:right w:val="single" w:color="auto" w:sz="4" w:space="0"/>
            </w:tcBorders>
            <w:vAlign w:val="center"/>
          </w:tcPr>
          <w:p w14:paraId="75B7D84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≥60G</w:t>
            </w:r>
          </w:p>
        </w:tc>
      </w:tr>
      <w:tr w14:paraId="75B7D848">
        <w:tblPrEx>
          <w:tblCellMar>
            <w:top w:w="0" w:type="dxa"/>
            <w:left w:w="108" w:type="dxa"/>
            <w:bottom w:w="0" w:type="dxa"/>
            <w:right w:w="108" w:type="dxa"/>
          </w:tblCellMar>
        </w:tblPrEx>
        <w:trPr>
          <w:trHeight w:val="288" w:hRule="atLeast"/>
        </w:trPr>
        <w:tc>
          <w:tcPr>
            <w:tcW w:w="1000" w:type="pct"/>
            <w:tcBorders>
              <w:top w:val="nil"/>
              <w:left w:val="single" w:color="auto" w:sz="4" w:space="0"/>
              <w:bottom w:val="single" w:color="auto" w:sz="4" w:space="0"/>
              <w:right w:val="single" w:color="auto" w:sz="4" w:space="0"/>
            </w:tcBorders>
            <w:vAlign w:val="center"/>
          </w:tcPr>
          <w:p w14:paraId="75B7D84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8</w:t>
            </w:r>
          </w:p>
        </w:tc>
        <w:tc>
          <w:tcPr>
            <w:tcW w:w="1000" w:type="pct"/>
            <w:vMerge w:val="continue"/>
            <w:tcBorders>
              <w:top w:val="nil"/>
              <w:left w:val="single" w:color="auto" w:sz="4" w:space="0"/>
              <w:bottom w:val="single" w:color="auto" w:sz="4" w:space="0"/>
              <w:right w:val="single" w:color="auto" w:sz="4" w:space="0"/>
            </w:tcBorders>
            <w:vAlign w:val="center"/>
          </w:tcPr>
          <w:p w14:paraId="75B7D844">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45">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4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响应时间</w:t>
            </w:r>
          </w:p>
        </w:tc>
        <w:tc>
          <w:tcPr>
            <w:tcW w:w="1000" w:type="pct"/>
            <w:tcBorders>
              <w:top w:val="nil"/>
              <w:left w:val="nil"/>
              <w:bottom w:val="single" w:color="auto" w:sz="4" w:space="0"/>
              <w:right w:val="single" w:color="auto" w:sz="4" w:space="0"/>
            </w:tcBorders>
            <w:vAlign w:val="center"/>
          </w:tcPr>
          <w:p w14:paraId="75B7D84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≤1.5秒</w:t>
            </w:r>
          </w:p>
        </w:tc>
      </w:tr>
      <w:tr w14:paraId="75B7D84E">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4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9</w:t>
            </w:r>
          </w:p>
        </w:tc>
        <w:tc>
          <w:tcPr>
            <w:tcW w:w="1000" w:type="pct"/>
            <w:vMerge w:val="continue"/>
            <w:tcBorders>
              <w:top w:val="nil"/>
              <w:left w:val="single" w:color="auto" w:sz="4" w:space="0"/>
              <w:bottom w:val="single" w:color="auto" w:sz="4" w:space="0"/>
              <w:right w:val="single" w:color="auto" w:sz="4" w:space="0"/>
            </w:tcBorders>
            <w:vAlign w:val="center"/>
          </w:tcPr>
          <w:p w14:paraId="75B7D84A">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restart"/>
            <w:tcBorders>
              <w:top w:val="nil"/>
              <w:left w:val="single" w:color="auto" w:sz="4" w:space="0"/>
              <w:bottom w:val="single" w:color="auto" w:sz="4" w:space="0"/>
              <w:right w:val="single" w:color="auto" w:sz="4" w:space="0"/>
            </w:tcBorders>
            <w:noWrap/>
            <w:vAlign w:val="center"/>
          </w:tcPr>
          <w:p w14:paraId="75B7D84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数据质量</w:t>
            </w:r>
          </w:p>
        </w:tc>
        <w:tc>
          <w:tcPr>
            <w:tcW w:w="1000" w:type="pct"/>
            <w:tcBorders>
              <w:top w:val="nil"/>
              <w:left w:val="nil"/>
              <w:bottom w:val="single" w:color="auto" w:sz="4" w:space="0"/>
              <w:right w:val="single" w:color="auto" w:sz="4" w:space="0"/>
            </w:tcBorders>
            <w:vAlign w:val="center"/>
          </w:tcPr>
          <w:p w14:paraId="75B7D84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数据报表查询速度</w:t>
            </w:r>
          </w:p>
        </w:tc>
        <w:tc>
          <w:tcPr>
            <w:tcW w:w="1000" w:type="pct"/>
            <w:tcBorders>
              <w:top w:val="nil"/>
              <w:left w:val="nil"/>
              <w:bottom w:val="single" w:color="auto" w:sz="4" w:space="0"/>
              <w:right w:val="single" w:color="auto" w:sz="4" w:space="0"/>
            </w:tcBorders>
            <w:vAlign w:val="center"/>
          </w:tcPr>
          <w:p w14:paraId="75B7D84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≤3秒</w:t>
            </w:r>
          </w:p>
        </w:tc>
      </w:tr>
      <w:tr w14:paraId="75B7D854">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4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10</w:t>
            </w:r>
          </w:p>
        </w:tc>
        <w:tc>
          <w:tcPr>
            <w:tcW w:w="1000" w:type="pct"/>
            <w:vMerge w:val="continue"/>
            <w:tcBorders>
              <w:top w:val="nil"/>
              <w:left w:val="single" w:color="auto" w:sz="4" w:space="0"/>
              <w:bottom w:val="single" w:color="auto" w:sz="4" w:space="0"/>
              <w:right w:val="single" w:color="auto" w:sz="4" w:space="0"/>
            </w:tcBorders>
            <w:vAlign w:val="center"/>
          </w:tcPr>
          <w:p w14:paraId="75B7D850">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51">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5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数据项完整性</w:t>
            </w:r>
          </w:p>
        </w:tc>
        <w:tc>
          <w:tcPr>
            <w:tcW w:w="1000" w:type="pct"/>
            <w:tcBorders>
              <w:top w:val="nil"/>
              <w:left w:val="nil"/>
              <w:bottom w:val="single" w:color="auto" w:sz="4" w:space="0"/>
              <w:right w:val="single" w:color="auto" w:sz="4" w:space="0"/>
            </w:tcBorders>
            <w:vAlign w:val="center"/>
          </w:tcPr>
          <w:p w14:paraId="75B7D85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≥99.5(%)</w:t>
            </w:r>
          </w:p>
        </w:tc>
      </w:tr>
      <w:tr w14:paraId="75B7D85A">
        <w:tblPrEx>
          <w:tblCellMar>
            <w:top w:w="0" w:type="dxa"/>
            <w:left w:w="108" w:type="dxa"/>
            <w:bottom w:w="0" w:type="dxa"/>
            <w:right w:w="108" w:type="dxa"/>
          </w:tblCellMar>
        </w:tblPrEx>
        <w:trPr>
          <w:trHeight w:val="864" w:hRule="atLeast"/>
        </w:trPr>
        <w:tc>
          <w:tcPr>
            <w:tcW w:w="1000" w:type="pct"/>
            <w:tcBorders>
              <w:top w:val="nil"/>
              <w:left w:val="single" w:color="auto" w:sz="4" w:space="0"/>
              <w:bottom w:val="single" w:color="auto" w:sz="4" w:space="0"/>
              <w:right w:val="single" w:color="auto" w:sz="4" w:space="0"/>
            </w:tcBorders>
            <w:vAlign w:val="center"/>
          </w:tcPr>
          <w:p w14:paraId="75B7D85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11</w:t>
            </w:r>
          </w:p>
        </w:tc>
        <w:tc>
          <w:tcPr>
            <w:tcW w:w="1000" w:type="pct"/>
            <w:tcBorders>
              <w:top w:val="nil"/>
              <w:left w:val="nil"/>
              <w:bottom w:val="single" w:color="auto" w:sz="4" w:space="0"/>
              <w:right w:val="single" w:color="auto" w:sz="4" w:space="0"/>
            </w:tcBorders>
            <w:vAlign w:val="center"/>
          </w:tcPr>
          <w:p w14:paraId="75B7D85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网络安全</w:t>
            </w:r>
          </w:p>
        </w:tc>
        <w:tc>
          <w:tcPr>
            <w:tcW w:w="1000" w:type="pct"/>
            <w:tcBorders>
              <w:top w:val="nil"/>
              <w:left w:val="nil"/>
              <w:bottom w:val="single" w:color="auto" w:sz="4" w:space="0"/>
              <w:right w:val="single" w:color="auto" w:sz="4" w:space="0"/>
            </w:tcBorders>
            <w:noWrap/>
            <w:vAlign w:val="center"/>
          </w:tcPr>
          <w:p w14:paraId="75B7D85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安全指标</w:t>
            </w:r>
          </w:p>
        </w:tc>
        <w:tc>
          <w:tcPr>
            <w:tcW w:w="1000" w:type="pct"/>
            <w:tcBorders>
              <w:top w:val="nil"/>
              <w:left w:val="nil"/>
              <w:bottom w:val="single" w:color="auto" w:sz="4" w:space="0"/>
              <w:right w:val="single" w:color="auto" w:sz="4" w:space="0"/>
            </w:tcBorders>
            <w:vAlign w:val="center"/>
          </w:tcPr>
          <w:p w14:paraId="75B7D85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等级保护（分级保护）级别</w:t>
            </w:r>
          </w:p>
        </w:tc>
        <w:tc>
          <w:tcPr>
            <w:tcW w:w="1000" w:type="pct"/>
            <w:tcBorders>
              <w:top w:val="nil"/>
              <w:left w:val="nil"/>
              <w:bottom w:val="single" w:color="auto" w:sz="4" w:space="0"/>
              <w:right w:val="single" w:color="auto" w:sz="4" w:space="0"/>
            </w:tcBorders>
            <w:vAlign w:val="center"/>
          </w:tcPr>
          <w:p w14:paraId="75B7D85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三级等保</w:t>
            </w:r>
          </w:p>
        </w:tc>
      </w:tr>
      <w:tr w14:paraId="75B7D860">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5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12</w:t>
            </w:r>
          </w:p>
        </w:tc>
        <w:tc>
          <w:tcPr>
            <w:tcW w:w="1000" w:type="pct"/>
            <w:vMerge w:val="restart"/>
            <w:tcBorders>
              <w:top w:val="nil"/>
              <w:left w:val="single" w:color="auto" w:sz="4" w:space="0"/>
              <w:bottom w:val="single" w:color="000000" w:sz="4" w:space="0"/>
              <w:right w:val="single" w:color="auto" w:sz="4" w:space="0"/>
            </w:tcBorders>
            <w:vAlign w:val="center"/>
          </w:tcPr>
          <w:p w14:paraId="75B7D85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项目管理</w:t>
            </w:r>
          </w:p>
        </w:tc>
        <w:tc>
          <w:tcPr>
            <w:tcW w:w="1000" w:type="pct"/>
            <w:vMerge w:val="restart"/>
            <w:tcBorders>
              <w:top w:val="nil"/>
              <w:left w:val="single" w:color="auto" w:sz="4" w:space="0"/>
              <w:bottom w:val="single" w:color="auto" w:sz="4" w:space="0"/>
              <w:right w:val="single" w:color="auto" w:sz="4" w:space="0"/>
            </w:tcBorders>
            <w:vAlign w:val="center"/>
          </w:tcPr>
          <w:p w14:paraId="75B7D85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安全指标</w:t>
            </w:r>
          </w:p>
        </w:tc>
        <w:tc>
          <w:tcPr>
            <w:tcW w:w="1000" w:type="pct"/>
            <w:tcBorders>
              <w:top w:val="nil"/>
              <w:left w:val="nil"/>
              <w:bottom w:val="single" w:color="auto" w:sz="4" w:space="0"/>
              <w:right w:val="single" w:color="auto" w:sz="4" w:space="0"/>
            </w:tcBorders>
            <w:vAlign w:val="center"/>
          </w:tcPr>
          <w:p w14:paraId="75B7D85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恢复点目标RPO</w:t>
            </w:r>
          </w:p>
        </w:tc>
        <w:tc>
          <w:tcPr>
            <w:tcW w:w="1000" w:type="pct"/>
            <w:tcBorders>
              <w:top w:val="nil"/>
              <w:left w:val="nil"/>
              <w:bottom w:val="single" w:color="auto" w:sz="4" w:space="0"/>
              <w:right w:val="single" w:color="auto" w:sz="4" w:space="0"/>
            </w:tcBorders>
            <w:vAlign w:val="center"/>
          </w:tcPr>
          <w:p w14:paraId="75B7D85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≤1小时</w:t>
            </w:r>
          </w:p>
        </w:tc>
      </w:tr>
      <w:tr w14:paraId="75B7D866">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6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13</w:t>
            </w:r>
          </w:p>
        </w:tc>
        <w:tc>
          <w:tcPr>
            <w:tcW w:w="1000" w:type="pct"/>
            <w:vMerge w:val="continue"/>
            <w:tcBorders>
              <w:top w:val="nil"/>
              <w:left w:val="single" w:color="auto" w:sz="4" w:space="0"/>
              <w:bottom w:val="single" w:color="000000" w:sz="4" w:space="0"/>
              <w:right w:val="single" w:color="auto" w:sz="4" w:space="0"/>
            </w:tcBorders>
            <w:vAlign w:val="center"/>
          </w:tcPr>
          <w:p w14:paraId="75B7D862">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63">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6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恢复时间目标RTO</w:t>
            </w:r>
          </w:p>
        </w:tc>
        <w:tc>
          <w:tcPr>
            <w:tcW w:w="1000" w:type="pct"/>
            <w:tcBorders>
              <w:top w:val="nil"/>
              <w:left w:val="nil"/>
              <w:bottom w:val="single" w:color="auto" w:sz="4" w:space="0"/>
              <w:right w:val="single" w:color="auto" w:sz="4" w:space="0"/>
            </w:tcBorders>
            <w:vAlign w:val="center"/>
          </w:tcPr>
          <w:p w14:paraId="75B7D86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≤4小时</w:t>
            </w:r>
          </w:p>
        </w:tc>
      </w:tr>
      <w:tr w14:paraId="75B7D86C">
        <w:tblPrEx>
          <w:tblCellMar>
            <w:top w:w="0" w:type="dxa"/>
            <w:left w:w="108" w:type="dxa"/>
            <w:bottom w:w="0" w:type="dxa"/>
            <w:right w:w="108" w:type="dxa"/>
          </w:tblCellMar>
        </w:tblPrEx>
        <w:trPr>
          <w:trHeight w:val="1152" w:hRule="atLeast"/>
        </w:trPr>
        <w:tc>
          <w:tcPr>
            <w:tcW w:w="1000" w:type="pct"/>
            <w:tcBorders>
              <w:top w:val="nil"/>
              <w:left w:val="single" w:color="auto" w:sz="4" w:space="0"/>
              <w:bottom w:val="single" w:color="auto" w:sz="4" w:space="0"/>
              <w:right w:val="single" w:color="auto" w:sz="4" w:space="0"/>
            </w:tcBorders>
            <w:vAlign w:val="center"/>
          </w:tcPr>
          <w:p w14:paraId="75B7D86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14</w:t>
            </w:r>
          </w:p>
        </w:tc>
        <w:tc>
          <w:tcPr>
            <w:tcW w:w="1000" w:type="pct"/>
            <w:vMerge w:val="continue"/>
            <w:tcBorders>
              <w:top w:val="nil"/>
              <w:left w:val="single" w:color="auto" w:sz="4" w:space="0"/>
              <w:bottom w:val="single" w:color="000000" w:sz="4" w:space="0"/>
              <w:right w:val="single" w:color="auto" w:sz="4" w:space="0"/>
            </w:tcBorders>
            <w:vAlign w:val="center"/>
          </w:tcPr>
          <w:p w14:paraId="75B7D868">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69">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6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防水防尘等级</w:t>
            </w:r>
          </w:p>
        </w:tc>
        <w:tc>
          <w:tcPr>
            <w:tcW w:w="1000" w:type="pct"/>
            <w:tcBorders>
              <w:top w:val="nil"/>
              <w:left w:val="nil"/>
              <w:bottom w:val="single" w:color="auto" w:sz="4" w:space="0"/>
              <w:right w:val="single" w:color="auto" w:sz="4" w:space="0"/>
            </w:tcBorders>
            <w:vAlign w:val="center"/>
          </w:tcPr>
          <w:p w14:paraId="75B7D86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IP55、IP66、IP68、IP69</w:t>
            </w:r>
          </w:p>
        </w:tc>
      </w:tr>
      <w:tr w14:paraId="75B7D872">
        <w:tblPrEx>
          <w:tblCellMar>
            <w:top w:w="0" w:type="dxa"/>
            <w:left w:w="108" w:type="dxa"/>
            <w:bottom w:w="0" w:type="dxa"/>
            <w:right w:w="108" w:type="dxa"/>
          </w:tblCellMar>
        </w:tblPrEx>
        <w:trPr>
          <w:trHeight w:val="576" w:hRule="atLeast"/>
        </w:trPr>
        <w:tc>
          <w:tcPr>
            <w:tcW w:w="1000" w:type="pct"/>
            <w:tcBorders>
              <w:top w:val="nil"/>
              <w:left w:val="single" w:color="auto" w:sz="4" w:space="0"/>
              <w:bottom w:val="single" w:color="auto" w:sz="4" w:space="0"/>
              <w:right w:val="single" w:color="auto" w:sz="4" w:space="0"/>
            </w:tcBorders>
            <w:vAlign w:val="center"/>
          </w:tcPr>
          <w:p w14:paraId="75B7D86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15</w:t>
            </w:r>
          </w:p>
        </w:tc>
        <w:tc>
          <w:tcPr>
            <w:tcW w:w="1000" w:type="pct"/>
            <w:vMerge w:val="continue"/>
            <w:tcBorders>
              <w:top w:val="nil"/>
              <w:left w:val="single" w:color="auto" w:sz="4" w:space="0"/>
              <w:bottom w:val="single" w:color="000000" w:sz="4" w:space="0"/>
              <w:right w:val="single" w:color="auto" w:sz="4" w:space="0"/>
            </w:tcBorders>
            <w:vAlign w:val="center"/>
          </w:tcPr>
          <w:p w14:paraId="75B7D86E">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6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项目进度</w:t>
            </w:r>
          </w:p>
        </w:tc>
        <w:tc>
          <w:tcPr>
            <w:tcW w:w="1000" w:type="pct"/>
            <w:tcBorders>
              <w:top w:val="nil"/>
              <w:left w:val="nil"/>
              <w:bottom w:val="single" w:color="auto" w:sz="4" w:space="0"/>
              <w:right w:val="single" w:color="auto" w:sz="4" w:space="0"/>
            </w:tcBorders>
            <w:vAlign w:val="center"/>
          </w:tcPr>
          <w:p w14:paraId="75B7D87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项目计划时间</w:t>
            </w:r>
          </w:p>
        </w:tc>
        <w:tc>
          <w:tcPr>
            <w:tcW w:w="1000" w:type="pct"/>
            <w:tcBorders>
              <w:top w:val="nil"/>
              <w:left w:val="nil"/>
              <w:bottom w:val="single" w:color="auto" w:sz="4" w:space="0"/>
              <w:right w:val="single" w:color="auto" w:sz="4" w:space="0"/>
            </w:tcBorders>
            <w:vAlign w:val="center"/>
          </w:tcPr>
          <w:p w14:paraId="75B7D87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2年</w:t>
            </w:r>
          </w:p>
        </w:tc>
      </w:tr>
      <w:tr w14:paraId="75B7D878">
        <w:tblPrEx>
          <w:tblCellMar>
            <w:top w:w="0" w:type="dxa"/>
            <w:left w:w="108" w:type="dxa"/>
            <w:bottom w:w="0" w:type="dxa"/>
            <w:right w:w="108" w:type="dxa"/>
          </w:tblCellMar>
        </w:tblPrEx>
        <w:trPr>
          <w:trHeight w:val="864" w:hRule="atLeast"/>
        </w:trPr>
        <w:tc>
          <w:tcPr>
            <w:tcW w:w="1000" w:type="pct"/>
            <w:tcBorders>
              <w:top w:val="nil"/>
              <w:left w:val="single" w:color="auto" w:sz="4" w:space="0"/>
              <w:bottom w:val="single" w:color="auto" w:sz="4" w:space="0"/>
              <w:right w:val="single" w:color="auto" w:sz="4" w:space="0"/>
            </w:tcBorders>
            <w:vAlign w:val="center"/>
          </w:tcPr>
          <w:p w14:paraId="75B7D87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16</w:t>
            </w:r>
          </w:p>
        </w:tc>
        <w:tc>
          <w:tcPr>
            <w:tcW w:w="1000" w:type="pct"/>
            <w:vMerge w:val="restart"/>
            <w:tcBorders>
              <w:top w:val="nil"/>
              <w:left w:val="single" w:color="auto" w:sz="4" w:space="0"/>
              <w:bottom w:val="single" w:color="auto" w:sz="4" w:space="0"/>
              <w:right w:val="single" w:color="auto" w:sz="4" w:space="0"/>
            </w:tcBorders>
            <w:vAlign w:val="center"/>
          </w:tcPr>
          <w:p w14:paraId="75B7D87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其他</w:t>
            </w:r>
          </w:p>
        </w:tc>
        <w:tc>
          <w:tcPr>
            <w:tcW w:w="1000" w:type="pct"/>
            <w:vMerge w:val="restart"/>
            <w:tcBorders>
              <w:top w:val="nil"/>
              <w:left w:val="single" w:color="auto" w:sz="4" w:space="0"/>
              <w:bottom w:val="single" w:color="auto" w:sz="4" w:space="0"/>
              <w:right w:val="single" w:color="auto" w:sz="4" w:space="0"/>
            </w:tcBorders>
            <w:vAlign w:val="center"/>
          </w:tcPr>
          <w:p w14:paraId="75B7D87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其他常用</w:t>
            </w:r>
          </w:p>
        </w:tc>
        <w:tc>
          <w:tcPr>
            <w:tcW w:w="1000" w:type="pct"/>
            <w:tcBorders>
              <w:top w:val="nil"/>
              <w:left w:val="nil"/>
              <w:bottom w:val="single" w:color="auto" w:sz="4" w:space="0"/>
              <w:right w:val="single" w:color="auto" w:sz="4" w:space="0"/>
            </w:tcBorders>
            <w:vAlign w:val="center"/>
          </w:tcPr>
          <w:p w14:paraId="75B7D87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延迟（视频会议系统网络）</w:t>
            </w:r>
          </w:p>
        </w:tc>
        <w:tc>
          <w:tcPr>
            <w:tcW w:w="1000" w:type="pct"/>
            <w:tcBorders>
              <w:top w:val="nil"/>
              <w:left w:val="nil"/>
              <w:bottom w:val="single" w:color="auto" w:sz="4" w:space="0"/>
              <w:right w:val="single" w:color="auto" w:sz="4" w:space="0"/>
            </w:tcBorders>
            <w:vAlign w:val="center"/>
          </w:tcPr>
          <w:p w14:paraId="75B7D87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＜200ms</w:t>
            </w:r>
          </w:p>
        </w:tc>
      </w:tr>
      <w:tr w14:paraId="75B7D87E">
        <w:tblPrEx>
          <w:tblCellMar>
            <w:top w:w="0" w:type="dxa"/>
            <w:left w:w="108" w:type="dxa"/>
            <w:bottom w:w="0" w:type="dxa"/>
            <w:right w:w="108" w:type="dxa"/>
          </w:tblCellMar>
        </w:tblPrEx>
        <w:trPr>
          <w:trHeight w:val="1152" w:hRule="atLeast"/>
        </w:trPr>
        <w:tc>
          <w:tcPr>
            <w:tcW w:w="1000" w:type="pct"/>
            <w:tcBorders>
              <w:top w:val="nil"/>
              <w:left w:val="single" w:color="auto" w:sz="4" w:space="0"/>
              <w:bottom w:val="single" w:color="auto" w:sz="4" w:space="0"/>
              <w:right w:val="single" w:color="auto" w:sz="4" w:space="0"/>
            </w:tcBorders>
            <w:vAlign w:val="center"/>
          </w:tcPr>
          <w:p w14:paraId="75B7D87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17</w:t>
            </w:r>
          </w:p>
        </w:tc>
        <w:tc>
          <w:tcPr>
            <w:tcW w:w="1000" w:type="pct"/>
            <w:vMerge w:val="continue"/>
            <w:tcBorders>
              <w:top w:val="nil"/>
              <w:left w:val="single" w:color="auto" w:sz="4" w:space="0"/>
              <w:bottom w:val="single" w:color="auto" w:sz="4" w:space="0"/>
              <w:right w:val="single" w:color="auto" w:sz="4" w:space="0"/>
            </w:tcBorders>
            <w:vAlign w:val="center"/>
          </w:tcPr>
          <w:p w14:paraId="75B7D87A">
            <w:pPr>
              <w:widowControl/>
              <w:autoSpaceDE/>
              <w:autoSpaceDN/>
              <w:spacing w:line="240" w:lineRule="auto"/>
              <w:ind w:firstLine="0" w:firstLineChars="0"/>
              <w:rPr>
                <w:rFonts w:hint="eastAsia" w:ascii="仿宋_GB2312" w:hAnsi="等线"/>
                <w:sz w:val="21"/>
                <w:szCs w:val="21"/>
                <w:lang w:val="en-US" w:bidi="ar-SA"/>
              </w:rPr>
            </w:pPr>
          </w:p>
        </w:tc>
        <w:tc>
          <w:tcPr>
            <w:tcW w:w="1000" w:type="pct"/>
            <w:vMerge w:val="continue"/>
            <w:tcBorders>
              <w:top w:val="nil"/>
              <w:left w:val="single" w:color="auto" w:sz="4" w:space="0"/>
              <w:bottom w:val="single" w:color="auto" w:sz="4" w:space="0"/>
              <w:right w:val="single" w:color="auto" w:sz="4" w:space="0"/>
            </w:tcBorders>
            <w:vAlign w:val="center"/>
          </w:tcPr>
          <w:p w14:paraId="75B7D87B">
            <w:pPr>
              <w:widowControl/>
              <w:autoSpaceDE/>
              <w:autoSpaceDN/>
              <w:spacing w:line="240" w:lineRule="auto"/>
              <w:ind w:firstLine="0" w:firstLineChars="0"/>
              <w:rPr>
                <w:rFonts w:hint="eastAsia" w:ascii="仿宋_GB2312" w:hAnsi="等线"/>
                <w:sz w:val="21"/>
                <w:szCs w:val="21"/>
                <w:lang w:val="en-US" w:bidi="ar-SA"/>
              </w:rPr>
            </w:pPr>
          </w:p>
        </w:tc>
        <w:tc>
          <w:tcPr>
            <w:tcW w:w="1000" w:type="pct"/>
            <w:tcBorders>
              <w:top w:val="nil"/>
              <w:left w:val="nil"/>
              <w:bottom w:val="single" w:color="auto" w:sz="4" w:space="0"/>
              <w:right w:val="single" w:color="auto" w:sz="4" w:space="0"/>
            </w:tcBorders>
            <w:vAlign w:val="center"/>
          </w:tcPr>
          <w:p w14:paraId="75B7D87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丢包率（视频会议系统网络）</w:t>
            </w:r>
          </w:p>
        </w:tc>
        <w:tc>
          <w:tcPr>
            <w:tcW w:w="1000" w:type="pct"/>
            <w:tcBorders>
              <w:top w:val="nil"/>
              <w:left w:val="nil"/>
              <w:bottom w:val="single" w:color="auto" w:sz="4" w:space="0"/>
              <w:right w:val="single" w:color="auto" w:sz="4" w:space="0"/>
            </w:tcBorders>
            <w:vAlign w:val="center"/>
          </w:tcPr>
          <w:p w14:paraId="75B7D87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≤3%</w:t>
            </w:r>
          </w:p>
        </w:tc>
      </w:tr>
    </w:tbl>
    <w:p w14:paraId="75B7D87F">
      <w:pPr>
        <w:pStyle w:val="18"/>
        <w:ind w:firstLine="480"/>
        <w:rPr>
          <w:rFonts w:hint="eastAsia"/>
        </w:rPr>
      </w:pPr>
    </w:p>
    <w:p w14:paraId="75B7D880">
      <w:pPr>
        <w:pStyle w:val="3"/>
        <w:rPr>
          <w:lang w:val="en-US"/>
        </w:rPr>
      </w:pPr>
      <w:bookmarkStart w:id="21" w:name="_Toc29190"/>
      <w:bookmarkStart w:id="22" w:name="_Toc5115"/>
      <w:r>
        <w:rPr>
          <w:rFonts w:hint="eastAsia"/>
          <w:lang w:val="en-US"/>
        </w:rPr>
        <w:t>项目建设内容、建设规模、建设地点、建设期</w:t>
      </w:r>
      <w:bookmarkEnd w:id="21"/>
      <w:bookmarkEnd w:id="22"/>
    </w:p>
    <w:p w14:paraId="75B7D881">
      <w:pPr>
        <w:pStyle w:val="4"/>
        <w:rPr>
          <w:rFonts w:hint="eastAsia"/>
        </w:rPr>
      </w:pPr>
      <w:bookmarkStart w:id="23" w:name="_Toc6214"/>
      <w:bookmarkStart w:id="24" w:name="_Toc28793"/>
      <w:r>
        <w:rPr>
          <w:rFonts w:hint="eastAsia"/>
        </w:rPr>
        <w:t>建设内容</w:t>
      </w:r>
      <w:bookmarkEnd w:id="23"/>
      <w:bookmarkEnd w:id="24"/>
    </w:p>
    <w:p w14:paraId="75B7D882">
      <w:pPr>
        <w:ind w:left="-2" w:leftChars="-1" w:firstLine="480"/>
        <w:rPr>
          <w:rFonts w:hint="eastAsia"/>
          <w:lang w:val="en-US"/>
        </w:rPr>
      </w:pPr>
      <w:r>
        <w:rPr>
          <w:rFonts w:hint="eastAsia"/>
          <w:lang w:val="en-US"/>
        </w:rPr>
        <w:t>针对当前我市森林防灭火装备水平低，扑救能力弱，基础设施差的状况，着重树立林火科学管理的理念，提出了森林火灾监测系统建设、森林防火通信系统建设、森林消防队伍能力建设三大工程，从而全面提高我市森林火灾预防控制能力。</w:t>
      </w:r>
    </w:p>
    <w:p w14:paraId="75B7D883">
      <w:pPr>
        <w:ind w:left="-2" w:leftChars="-1" w:firstLine="480"/>
        <w:rPr>
          <w:rFonts w:hint="eastAsia"/>
          <w:lang w:val="en-US"/>
        </w:rPr>
      </w:pPr>
      <w:r>
        <w:rPr>
          <w:rFonts w:hint="eastAsia"/>
          <w:lang w:val="en-US"/>
        </w:rPr>
        <w:t>一、森林火灾预警监测</w:t>
      </w:r>
    </w:p>
    <w:p w14:paraId="75B7D884">
      <w:pPr>
        <w:ind w:left="-2" w:leftChars="-1" w:firstLine="480"/>
        <w:rPr>
          <w:rFonts w:hint="eastAsia"/>
          <w:lang w:val="en-US"/>
        </w:rPr>
      </w:pPr>
      <w:r>
        <w:rPr>
          <w:rFonts w:hint="eastAsia"/>
          <w:lang w:val="en-US"/>
        </w:rPr>
        <w:t>（1）航空火情监测子系统</w:t>
      </w:r>
    </w:p>
    <w:p w14:paraId="75B7D885">
      <w:pPr>
        <w:ind w:left="-2" w:leftChars="-1" w:firstLine="480"/>
        <w:rPr>
          <w:rFonts w:hint="eastAsia"/>
          <w:lang w:val="en-US"/>
        </w:rPr>
      </w:pPr>
      <w:r>
        <w:rPr>
          <w:rFonts w:hint="eastAsia"/>
          <w:lang w:val="en-US"/>
        </w:rPr>
        <w:t>拟新建无人机林火巡护和应急处置体系：配置无人机林火巡护和应急处置体系：配置 10 台无人机 I 型、37 台无人机Ⅱ型、20 台载重大型无人机、29台小型无人机、34 台 自主巡护无人机机场开展火灾巡护与监测工作。I 型无人机适合用于大面积森林火灾航空监测，续航时间较长，且可以根据需要更换不同的专业载荷；Ⅱ型无人机适用于小面积森林火灾航空监测，体积较小，容易携带，载重无人机用于调运物资、灭火弹。无人机进行森林火灾航空监测时采集的视频能够实时上传至岳阳市森林防火指挥调度中心。</w:t>
      </w:r>
    </w:p>
    <w:p w14:paraId="75B7D886">
      <w:pPr>
        <w:ind w:left="-2" w:leftChars="-1" w:firstLine="480"/>
        <w:rPr>
          <w:rFonts w:hint="eastAsia"/>
          <w:lang w:val="en-US"/>
        </w:rPr>
      </w:pPr>
      <w:r>
        <w:rPr>
          <w:rFonts w:hint="eastAsia"/>
          <w:lang w:val="en-US"/>
        </w:rPr>
        <w:t>（2）地面火情监测子系统</w:t>
      </w:r>
    </w:p>
    <w:p w14:paraId="75B7D887">
      <w:pPr>
        <w:ind w:left="-2" w:leftChars="-1" w:firstLine="480"/>
        <w:rPr>
          <w:rFonts w:hint="eastAsia"/>
          <w:lang w:val="en-US"/>
        </w:rPr>
      </w:pPr>
      <w:r>
        <w:rPr>
          <w:rFonts w:hint="eastAsia"/>
          <w:lang w:val="en-US"/>
        </w:rPr>
        <w:t>为精准捕捉林区火情隐患、织密地面监测网络，项目将配备 17 台一体化云台摄像机，凭借其高清拍摄、灵活转向及远距离监测能力，实现对重点林区、复杂地形的全方位覆盖；新增9 套林火视频监控系统前端、5 套林火视频中央控制系统、共享高位监控 268 处，配置 203 套北斗手持巡护终端，通过前端设备的实时采集与中央系统的集中管控，构建“前端感知—后端研判”的闭环监测机制，新建瞭望塔 1 座、加固维修瞭望塔 1 座、新建林区防火检查卡防点 2 处，配置对讲机 141 台，进一步完善岳阳市森林火灾高风险区森林防火监控系统，填补地面监测盲区，提升火情早期发现、快速上报的响应效率，为后续应急处置提供实时精准的数据支撑。</w:t>
      </w:r>
    </w:p>
    <w:p w14:paraId="75B7D888">
      <w:pPr>
        <w:ind w:left="-2" w:leftChars="-1" w:firstLine="480"/>
        <w:rPr>
          <w:rFonts w:hint="eastAsia"/>
          <w:lang w:val="en-US"/>
        </w:rPr>
      </w:pPr>
      <w:r>
        <w:rPr>
          <w:rFonts w:hint="eastAsia"/>
          <w:lang w:val="en-US"/>
        </w:rPr>
        <w:t>（3）监测调度子系统</w:t>
      </w:r>
    </w:p>
    <w:p w14:paraId="75B7D889">
      <w:pPr>
        <w:ind w:left="-2" w:leftChars="-1" w:firstLine="480"/>
        <w:rPr>
          <w:rFonts w:hint="eastAsia"/>
          <w:lang w:val="en-US"/>
        </w:rPr>
      </w:pPr>
      <w:r>
        <w:rPr>
          <w:rFonts w:hint="eastAsia"/>
          <w:lang w:val="en-US"/>
        </w:rPr>
        <w:t>通过配置存储服务器 1 台、监控级硬盘 12 块、岳阳市森林防火指挥调度中心会议室 LED 全彩显示屏 10.04 平方米、岳阳市森林防火值班室 LED 全彩显示屏 10.04 平方米、林科所森林防火指挥室 LED 全彩显示屏3.9平方米、综合调度系统软件 1 套、云多点控制单元(MCU）1 台建设监测调度子系统，用于加强项目区森林防火监测调度能力。</w:t>
      </w:r>
    </w:p>
    <w:p w14:paraId="75B7D88A">
      <w:pPr>
        <w:ind w:left="-2" w:leftChars="-1" w:firstLine="480"/>
        <w:rPr>
          <w:rFonts w:hint="eastAsia"/>
          <w:lang w:val="en-US"/>
        </w:rPr>
      </w:pPr>
      <w:r>
        <w:rPr>
          <w:rFonts w:hint="eastAsia"/>
          <w:lang w:val="en-US"/>
        </w:rPr>
        <w:t>二、森林防火通信</w:t>
      </w:r>
    </w:p>
    <w:p w14:paraId="75B7D88B">
      <w:pPr>
        <w:ind w:left="-2" w:leftChars="-1" w:firstLine="480"/>
        <w:rPr>
          <w:rFonts w:hint="eastAsia"/>
          <w:lang w:val="en-US"/>
        </w:rPr>
      </w:pPr>
      <w:r>
        <w:rPr>
          <w:rFonts w:hint="eastAsia"/>
          <w:lang w:val="en-US"/>
        </w:rPr>
        <w:t>建设集超短波、短波、卫星等多种通信手段为一体的机动通信系统。配备数字超短波固定基站、数字超短波移动基站、数字超短波背负台、应急通讯箱、车载台、语音网关、手持台各 5 台套及调度服务器、融合调度软件、网管软件各 1 套。本项目防火通信系统采取语音自组网通信架构。</w:t>
      </w:r>
    </w:p>
    <w:p w14:paraId="75B7D88C">
      <w:pPr>
        <w:ind w:left="-2" w:leftChars="-1" w:firstLine="480"/>
        <w:rPr>
          <w:rFonts w:hint="eastAsia"/>
          <w:lang w:val="en-US"/>
        </w:rPr>
      </w:pPr>
      <w:r>
        <w:rPr>
          <w:rFonts w:hint="eastAsia"/>
          <w:lang w:val="en-US"/>
        </w:rPr>
        <w:t>三、森林消防队伍能力建设</w:t>
      </w:r>
    </w:p>
    <w:p w14:paraId="75B7D88D">
      <w:pPr>
        <w:ind w:left="-2" w:leftChars="-1" w:firstLine="480"/>
        <w:rPr>
          <w:rFonts w:hint="eastAsia"/>
          <w:lang w:val="en-US"/>
        </w:rPr>
      </w:pPr>
      <w:r>
        <w:rPr>
          <w:rFonts w:hint="eastAsia"/>
          <w:lang w:val="en-US"/>
        </w:rPr>
        <w:t>项目配备森林防火视频监控语音宣传杆529套。</w:t>
      </w:r>
    </w:p>
    <w:p w14:paraId="75B7D88E">
      <w:pPr>
        <w:pStyle w:val="4"/>
        <w:rPr>
          <w:rFonts w:hint="eastAsia"/>
        </w:rPr>
      </w:pPr>
      <w:bookmarkStart w:id="25" w:name="_Toc17283"/>
      <w:bookmarkStart w:id="26" w:name="_Toc31370"/>
      <w:r>
        <w:rPr>
          <w:rFonts w:hint="eastAsia"/>
        </w:rPr>
        <w:t>建设规模</w:t>
      </w:r>
      <w:bookmarkEnd w:id="25"/>
      <w:bookmarkEnd w:id="26"/>
    </w:p>
    <w:p w14:paraId="75B7D88F">
      <w:pPr>
        <w:ind w:left="-2" w:leftChars="-1" w:firstLine="480"/>
        <w:rPr>
          <w:rFonts w:hint="eastAsia"/>
          <w:lang w:val="en-US"/>
        </w:rPr>
      </w:pPr>
      <w:r>
        <w:rPr>
          <w:rFonts w:hint="eastAsia"/>
          <w:lang w:val="en-US"/>
        </w:rPr>
        <w:t>建设规模包括岳阳市本级，平江县（国有连云林场、幕阜国有林场、福寿国有林场），汨罗市（玉池林场、桃林国有林场、玉池风景名胜区），岳阳县（大云山国有林场、相思山国有林场），临湘市(白石园国有林场、荆竹山国有林场、药菇山国有林场、五尖山国有林场、龙窖山风景名胜区），云溪区（清溪省级森林公园）、芦头林场，森林火灾高风险区综合治理能力提升相关设备装备建设。</w:t>
      </w:r>
    </w:p>
    <w:p w14:paraId="75B7D890">
      <w:pPr>
        <w:pStyle w:val="4"/>
        <w:rPr>
          <w:rFonts w:hint="eastAsia"/>
        </w:rPr>
      </w:pPr>
      <w:bookmarkStart w:id="27" w:name="_Toc12482"/>
      <w:bookmarkStart w:id="28" w:name="_Toc24364"/>
      <w:r>
        <w:rPr>
          <w:rFonts w:hint="eastAsia"/>
        </w:rPr>
        <w:t>建设地点</w:t>
      </w:r>
      <w:bookmarkEnd w:id="27"/>
      <w:bookmarkEnd w:id="28"/>
    </w:p>
    <w:p w14:paraId="75B7D891">
      <w:pPr>
        <w:ind w:left="-2" w:leftChars="-1" w:firstLine="480"/>
        <w:rPr>
          <w:rFonts w:hint="eastAsia"/>
          <w:lang w:val="en-US"/>
        </w:rPr>
      </w:pPr>
      <w:r>
        <w:rPr>
          <w:rFonts w:hint="eastAsia"/>
          <w:lang w:val="en-US"/>
        </w:rPr>
        <w:t>岳阳市</w:t>
      </w:r>
    </w:p>
    <w:p w14:paraId="75B7D892">
      <w:pPr>
        <w:pStyle w:val="4"/>
        <w:rPr>
          <w:rFonts w:hint="eastAsia"/>
        </w:rPr>
      </w:pPr>
      <w:bookmarkStart w:id="29" w:name="_Toc334"/>
      <w:bookmarkStart w:id="30" w:name="_Toc17532"/>
      <w:r>
        <w:rPr>
          <w:rFonts w:hint="eastAsia"/>
          <w:lang w:val="en-US"/>
        </w:rPr>
        <w:t>建设</w:t>
      </w:r>
      <w:r>
        <w:rPr>
          <w:rFonts w:hint="eastAsia"/>
        </w:rPr>
        <w:t>工期</w:t>
      </w:r>
      <w:bookmarkEnd w:id="29"/>
      <w:bookmarkEnd w:id="30"/>
    </w:p>
    <w:p w14:paraId="75B7D893">
      <w:pPr>
        <w:ind w:left="-2" w:leftChars="-1" w:firstLine="480"/>
        <w:rPr>
          <w:rFonts w:hint="eastAsia"/>
          <w:lang w:val="en-US"/>
        </w:rPr>
      </w:pPr>
      <w:r>
        <w:rPr>
          <w:rFonts w:hint="eastAsia"/>
          <w:lang w:val="en-US"/>
        </w:rPr>
        <w:t>项目建设期为</w:t>
      </w:r>
      <w:r>
        <w:rPr>
          <w:rFonts w:hint="eastAsia"/>
          <w:lang w:val="en-US" w:eastAsia="zh-CN"/>
        </w:rPr>
        <w:t>5个月</w:t>
      </w:r>
      <w:r>
        <w:rPr>
          <w:rFonts w:hint="eastAsia"/>
          <w:lang w:val="en-US"/>
        </w:rPr>
        <w:t>。</w:t>
      </w:r>
    </w:p>
    <w:p w14:paraId="75B7D89B">
      <w:pPr>
        <w:pStyle w:val="3"/>
        <w:rPr>
          <w:lang w:val="en-US"/>
        </w:rPr>
      </w:pPr>
      <w:bookmarkStart w:id="31" w:name="_Toc31325"/>
      <w:bookmarkStart w:id="32" w:name="_Toc22336"/>
      <w:r>
        <w:rPr>
          <w:rFonts w:hint="eastAsia"/>
          <w:lang w:val="en-US"/>
        </w:rPr>
        <w:t>主要结论和建议</w:t>
      </w:r>
      <w:bookmarkEnd w:id="31"/>
      <w:bookmarkEnd w:id="32"/>
    </w:p>
    <w:p w14:paraId="75B7D89C">
      <w:pPr>
        <w:ind w:firstLine="480"/>
        <w:rPr>
          <w:rFonts w:hint="eastAsia"/>
          <w:lang w:val="en-US"/>
        </w:rPr>
      </w:pPr>
      <w:r>
        <w:rPr>
          <w:rFonts w:hint="eastAsia"/>
          <w:lang w:val="en-US"/>
        </w:rPr>
        <w:t>湖南省岳阳市森林火灾高风险区综合治理能力提升信息化建设是一项为岳阳市公共安全体系建设服务、为湖南省稳定繁荣发展保驾护航、为全国生态文明建设提供坚实保障的社会公益性基础工程。通过对项目建设的基础条件、技术方案与综合效益等方面的分析论证表明：本项目具备一定的基础设施条件，项目管理组织机构健全，技术支撑力量雄厚，具备建设好湖南省岳阳市森林火灾高风险区综合治理能力提升信息化建设的综合实力。</w:t>
      </w:r>
    </w:p>
    <w:p w14:paraId="75B7D89D">
      <w:pPr>
        <w:pStyle w:val="4"/>
        <w:rPr>
          <w:rFonts w:hint="eastAsia"/>
        </w:rPr>
      </w:pPr>
      <w:bookmarkStart w:id="33" w:name="_Toc3421"/>
      <w:r>
        <w:rPr>
          <w:rFonts w:hint="eastAsia"/>
          <w:lang w:val="en-US"/>
        </w:rPr>
        <w:t>主要</w:t>
      </w:r>
      <w:r>
        <w:t>结论</w:t>
      </w:r>
      <w:bookmarkEnd w:id="33"/>
    </w:p>
    <w:p w14:paraId="75B7D89E">
      <w:pPr>
        <w:ind w:firstLine="480"/>
        <w:rPr>
          <w:rFonts w:hint="eastAsia"/>
          <w:lang w:val="en-US"/>
        </w:rPr>
      </w:pPr>
      <w:r>
        <w:rPr>
          <w:lang w:val="en-US"/>
        </w:rPr>
        <w:t>湖南省岳阳市森林火灾高风险区综合治理能力提升信息化建设项目，是兼具公共安全价值、生态保护意义与社会公益属性的重点基础工程，其必要性与可行性已得到全面且充分的论证。从基础条件来看，岳阳市已具备支撑项目落地的前期基础设施，健全的项目管理组织机构为建设推进提供了组织保障，专业且雄厚的技术支撑力量则确保了项目从设计到实施的专业度，三者共同构建了项目落地的核心基础，证明岳阳市拥有高质量完成该信息化建设的综合实力。在建设方案层面，项目目标清晰明确，聚焦构建“空天地”一体化立体监测网络和“一屏总览”综合调度平台，核心指标量化具体，可有效衡量项目成效；建设规模适配岳阳市森林火灾高风险区的实际需求，既避免了资源浪费，又能满足综合治理的功能要求；设备选配严格遵循《森林防火工程技术标准》等规范，科学合理的选型既保障了性能，又符合信创与安全要求；技术路线贴合森林防火信息化发展趋势，融合了无人机巡护、AI智能识别、边缘计算等前沿技术，切实可行且具备创新性。外部保障维度上，项目完全契合国家安全发展理念与生态环境建设战略，符合行业发展规划，不仅获得国家相关产业政策的明确支持，还有稳定的资金投入作为保障，为项目推进扫清了政策与资金障碍。从综合效益角度分析，项目的建设直接有利于保护岳阳市乃至湖南省的森林资源与生态环境，通过主动预防、快速响应的智能化手段，能有效降低森林火灾发生概率与危害程度，进而保护国家和人民的生态效益与间接经济效益，是一项真正利国利民的生态工程。综上，从基础条件、建设方案、资金支持、政策保障以及经济、社会、生态效益等多维度综合判断，该项目的建设是十分必要且切实可行的，对提升岳阳市森林火灾综合治理能力、筑牢生态安全屏障具有重要意义。</w:t>
      </w:r>
    </w:p>
    <w:p w14:paraId="75B7D89F">
      <w:pPr>
        <w:pStyle w:val="4"/>
        <w:rPr>
          <w:rFonts w:hint="eastAsia"/>
        </w:rPr>
      </w:pPr>
      <w:bookmarkStart w:id="34" w:name="_Toc22299"/>
      <w:r>
        <w:rPr>
          <w:rFonts w:hint="eastAsia"/>
          <w:lang w:val="en-US"/>
        </w:rPr>
        <w:t>相关</w:t>
      </w:r>
      <w:r>
        <w:t>建议</w:t>
      </w:r>
      <w:bookmarkEnd w:id="34"/>
    </w:p>
    <w:p w14:paraId="75B7D8A0">
      <w:pPr>
        <w:ind w:firstLine="480"/>
        <w:rPr>
          <w:rFonts w:hint="eastAsia"/>
          <w:lang w:val="en-US"/>
        </w:rPr>
      </w:pPr>
      <w:r>
        <w:rPr>
          <w:lang w:val="en-US"/>
        </w:rPr>
        <w:t>为确保湖南省岳阳市森林火灾高风险区综合治理能力提升信息化建设项目顺利落地并实现预期成效，需从标准落地、运维保障、拓展适配、协同联动、效益跟踪等多维度制定系统性推进建议。在标准落地方面，需建立全流程合规管控机制，严格遵循《森林防火工程技术标准》《网络安全等级保护三级标准》等国家与行业规范，在设备采购环节明确信创要求，优先选用符合标准的国产设备；在系统开发过程中，同步开展安全合规检测，确保数据传输、存储与分析全流程符合网络安全要求，同时建立合规管理台账，记录从设计到验收各环节的合规性证明材料，为项目验收与长期运维提供依据。在运维保障上，需提前规划完善的运维体系，一方面制定详细的故障应急处置方案，针对极端天气、网络中断等特殊场景，明确人工干预流程与备用通信链路启用机制，确保系统在突发状况下仍能发挥核心功能；另一方面建立电子化运维档案，覆盖设备采购、安装、调试、维护等全生命周期信息，定期开展设备性能检测与系统漏洞排查，及时更新AI识别算法与火险预测模型，保障系统长期稳定运行。在拓展适配层面，要在模块化架构设计的基础上，进一步明确标准接口规范，不仅要满足当前“空天地”一体化监测、智能预警等功能需求，还要为未来无人机巡护航线优化、应急通信链路扩容、火险预测模型迭代等功能升级预留适配空间，确保项目具备长期扩展性与技术先进性。在协同联动方面，需推动“一屏总览”调度平台与岳阳市应急管理、气象、林业等部门的现有系统实现数据对接与功能协同，建立跨部门信息共享机制，实时同步气象数据、植被监测信息、火情预警信息等，在火灾发生时能快速启动多部门协同响应流程，提升应急处置效率。在效益跟踪上，需建立动态化的效益评估机制，定期监测“24小时火灾扑灭率≥95%、森林火灾受害率≤0.9%”等核心指标的完成情况，同时拓展评估维度，将生态效益、社会效益、间接经济效益等纳入评估体系，形成年度评估报告，为项目后续优化调整提供数据支撑，确保项目始终保持较高的投入产出比。</w:t>
      </w:r>
    </w:p>
    <w:p w14:paraId="75B7D8A1">
      <w:pPr>
        <w:ind w:firstLine="480"/>
        <w:rPr>
          <w:rFonts w:hint="eastAsia"/>
          <w:lang w:val="en-US"/>
        </w:rPr>
      </w:pPr>
    </w:p>
    <w:p w14:paraId="75B7D8A2">
      <w:pPr>
        <w:pStyle w:val="18"/>
        <w:ind w:firstLine="480"/>
        <w:rPr>
          <w:rFonts w:hint="eastAsia"/>
        </w:rPr>
      </w:pPr>
    </w:p>
    <w:p w14:paraId="75B7D8A3">
      <w:pPr>
        <w:ind w:firstLine="480"/>
        <w:rPr>
          <w:rFonts w:hint="eastAsia"/>
          <w:lang w:val="en-US"/>
        </w:rPr>
        <w:sectPr>
          <w:footerReference r:id="rId16" w:type="default"/>
          <w:pgSz w:w="11906" w:h="16838"/>
          <w:pgMar w:top="1440" w:right="1800" w:bottom="1440" w:left="1800" w:header="851" w:footer="1191" w:gutter="0"/>
          <w:pgNumType w:start="1"/>
          <w:cols w:space="425" w:num="1"/>
          <w:docGrid w:type="lines" w:linePitch="312" w:charSpace="0"/>
        </w:sectPr>
      </w:pPr>
    </w:p>
    <w:p w14:paraId="75B7D8A4">
      <w:pPr>
        <w:pStyle w:val="2"/>
        <w:rPr>
          <w:rFonts w:hint="eastAsia"/>
          <w:lang w:val="en-US"/>
        </w:rPr>
      </w:pPr>
      <w:bookmarkStart w:id="35" w:name="_Toc141"/>
      <w:bookmarkStart w:id="36" w:name="_Toc14807"/>
      <w:r>
        <w:rPr>
          <w:rFonts w:hint="eastAsia"/>
          <w:lang w:val="en-US"/>
        </w:rPr>
        <w:t>项目建设单位概况</w:t>
      </w:r>
      <w:bookmarkEnd w:id="35"/>
      <w:bookmarkEnd w:id="36"/>
    </w:p>
    <w:p w14:paraId="75B7D8A5">
      <w:pPr>
        <w:pStyle w:val="3"/>
      </w:pPr>
      <w:bookmarkStart w:id="37" w:name="_Toc5511"/>
      <w:bookmarkStart w:id="38" w:name="_Toc1328"/>
      <w:r>
        <w:rPr>
          <w:rFonts w:hint="eastAsia"/>
        </w:rPr>
        <w:t>项目建设单位与职能</w:t>
      </w:r>
      <w:bookmarkEnd w:id="37"/>
      <w:bookmarkEnd w:id="38"/>
    </w:p>
    <w:p w14:paraId="75B7D8A6">
      <w:pPr>
        <w:ind w:firstLine="480"/>
        <w:rPr>
          <w:rFonts w:hint="eastAsia"/>
          <w:lang w:val="en-US"/>
        </w:rPr>
      </w:pPr>
      <w:r>
        <w:rPr>
          <w:rFonts w:hint="eastAsia"/>
          <w:lang w:val="en-US"/>
        </w:rPr>
        <w:t>项目建设单位：岳阳市林业局</w:t>
      </w:r>
    </w:p>
    <w:p w14:paraId="75B7D8A8">
      <w:pPr>
        <w:ind w:firstLine="480"/>
        <w:rPr>
          <w:rFonts w:hint="eastAsia"/>
          <w:lang w:val="en-US"/>
        </w:rPr>
      </w:pPr>
      <w:r>
        <w:rPr>
          <w:rFonts w:hint="eastAsia"/>
          <w:lang w:val="en-US"/>
        </w:rPr>
        <w:t>岳阳市林业局是岳阳市人民政府的工作部门，为正处级，由市自然资源和规划局统一领导和管理。岳阳市林业局贯彻落实党中央关于林业和草原工作的方针政策和决策部署，全面落实党中央、国务院、省委、省政府市委、市政府关于林业和草原工作的部署要求，在履行职责过程中坚持和加强党对林业和草原工作的集中统一领导。主要职责是：</w:t>
      </w:r>
    </w:p>
    <w:p w14:paraId="75B7D8A9">
      <w:pPr>
        <w:ind w:firstLine="480"/>
        <w:rPr>
          <w:rFonts w:hint="eastAsia"/>
          <w:lang w:val="en-US"/>
        </w:rPr>
      </w:pPr>
      <w:r>
        <w:rPr>
          <w:rFonts w:hint="eastAsia"/>
          <w:lang w:val="en-US"/>
        </w:rPr>
        <w:t>(一）负责林业和草原及其生态保护修复的监督管理。</w:t>
      </w:r>
    </w:p>
    <w:p w14:paraId="75B7D8AA">
      <w:pPr>
        <w:ind w:firstLine="480"/>
        <w:rPr>
          <w:rFonts w:hint="eastAsia"/>
          <w:lang w:val="en-US"/>
        </w:rPr>
      </w:pPr>
      <w:r>
        <w:rPr>
          <w:rFonts w:hint="eastAsia"/>
          <w:lang w:val="en-US"/>
        </w:rPr>
        <w:t>(二）组织指导林业和草原生态保护修复和造林绿化工作。</w:t>
      </w:r>
    </w:p>
    <w:p w14:paraId="75B7D8AB">
      <w:pPr>
        <w:ind w:firstLine="480"/>
        <w:rPr>
          <w:rFonts w:hint="eastAsia"/>
          <w:lang w:val="en-US"/>
        </w:rPr>
      </w:pPr>
      <w:r>
        <w:rPr>
          <w:rFonts w:hint="eastAsia"/>
          <w:lang w:val="en-US"/>
        </w:rPr>
        <w:t>(三）负责森林、草原、湿地资源的监督管理。</w:t>
      </w:r>
    </w:p>
    <w:p w14:paraId="75B7D8AC">
      <w:pPr>
        <w:ind w:firstLine="480"/>
        <w:rPr>
          <w:rFonts w:hint="eastAsia"/>
          <w:lang w:val="en-US"/>
        </w:rPr>
      </w:pPr>
      <w:r>
        <w:rPr>
          <w:rFonts w:hint="eastAsia"/>
          <w:lang w:val="en-US"/>
        </w:rPr>
        <w:t>(四）负责陆生野生动植物资源监督管理。</w:t>
      </w:r>
    </w:p>
    <w:p w14:paraId="75B7D8AD">
      <w:pPr>
        <w:ind w:firstLine="480"/>
        <w:rPr>
          <w:rFonts w:hint="eastAsia"/>
          <w:lang w:val="en-US"/>
        </w:rPr>
      </w:pPr>
      <w:r>
        <w:rPr>
          <w:rFonts w:hint="eastAsia"/>
          <w:lang w:val="en-US"/>
        </w:rPr>
        <w:t>(五）负责监督管理各类自然保护地。</w:t>
      </w:r>
    </w:p>
    <w:p w14:paraId="75B7D8AE">
      <w:pPr>
        <w:ind w:firstLine="480"/>
        <w:rPr>
          <w:rFonts w:hint="eastAsia"/>
          <w:lang w:val="en-US"/>
        </w:rPr>
      </w:pPr>
      <w:r>
        <w:rPr>
          <w:rFonts w:hint="eastAsia"/>
          <w:lang w:val="en-US"/>
        </w:rPr>
        <w:t>(六）负责推进林业和草原改革、行政执法相关工作。</w:t>
      </w:r>
    </w:p>
    <w:p w14:paraId="75B7D8AF">
      <w:pPr>
        <w:ind w:firstLine="480"/>
        <w:rPr>
          <w:rFonts w:hint="eastAsia"/>
          <w:lang w:val="en-US"/>
        </w:rPr>
      </w:pPr>
      <w:r>
        <w:rPr>
          <w:rFonts w:hint="eastAsia"/>
          <w:lang w:val="en-US"/>
        </w:rPr>
        <w:t>(七）指导开展林业产业工作。</w:t>
      </w:r>
    </w:p>
    <w:p w14:paraId="75B7D8B1">
      <w:pPr>
        <w:ind w:firstLine="480"/>
        <w:rPr>
          <w:rFonts w:hint="eastAsia"/>
          <w:lang w:val="en-US"/>
        </w:rPr>
      </w:pPr>
      <w:r>
        <w:rPr>
          <w:rFonts w:hint="eastAsia"/>
          <w:lang w:val="en-US"/>
        </w:rPr>
        <w:t>(八）组织林木种子、草种种质资源普查，组织建立种质资源库，负责良种选育推广，管理林木种苗、草种生产经营行为，监管林木种苗、草种质量。</w:t>
      </w:r>
    </w:p>
    <w:p w14:paraId="75B7D8B2">
      <w:pPr>
        <w:ind w:firstLine="480"/>
        <w:rPr>
          <w:rFonts w:hint="eastAsia"/>
          <w:lang w:val="en-US"/>
        </w:rPr>
      </w:pPr>
      <w:r>
        <w:rPr>
          <w:rFonts w:hint="eastAsia"/>
          <w:lang w:val="en-US"/>
        </w:rPr>
        <w:t>(九）负责林业和草原防灾减灾工作。</w:t>
      </w:r>
    </w:p>
    <w:p w14:paraId="75B7D8B3">
      <w:pPr>
        <w:ind w:firstLine="480"/>
        <w:rPr>
          <w:rFonts w:hint="eastAsia"/>
          <w:lang w:val="en-US"/>
        </w:rPr>
      </w:pPr>
      <w:r>
        <w:rPr>
          <w:rFonts w:hint="eastAsia"/>
          <w:lang w:val="en-US"/>
        </w:rPr>
        <w:t>(十）监督管理林业和草原资金使用和国有资产处置，提出林业和草原预算内投资、财政性资金安排建议，按规定权限，审核规划内和年</w:t>
      </w:r>
    </w:p>
    <w:p w14:paraId="75B7D8B4">
      <w:pPr>
        <w:ind w:firstLine="480"/>
        <w:rPr>
          <w:rFonts w:hint="eastAsia"/>
          <w:lang w:val="en-US"/>
        </w:rPr>
      </w:pPr>
      <w:r>
        <w:rPr>
          <w:rFonts w:hint="eastAsia"/>
          <w:lang w:val="en-US"/>
        </w:rPr>
        <w:t>度计划投资项目，指导监督林业和草原项目实施工作。</w:t>
      </w:r>
    </w:p>
    <w:p w14:paraId="75B7D8B5">
      <w:pPr>
        <w:ind w:firstLine="480"/>
        <w:rPr>
          <w:rFonts w:hint="eastAsia"/>
          <w:lang w:val="en-US"/>
        </w:rPr>
      </w:pPr>
      <w:r>
        <w:rPr>
          <w:rFonts w:hint="eastAsia"/>
          <w:lang w:val="en-US"/>
        </w:rPr>
        <w:t>(十一）负责林业和草原科技、教育和外事工作，指导全市林业人才队伍建设，组织指导林业和草原对外交流与合作事务。承担湿地、</w:t>
      </w:r>
    </w:p>
    <w:p w14:paraId="75B7D8B6">
      <w:pPr>
        <w:ind w:firstLine="480"/>
        <w:rPr>
          <w:rFonts w:hint="eastAsia"/>
          <w:lang w:val="en-US"/>
        </w:rPr>
      </w:pPr>
      <w:r>
        <w:rPr>
          <w:rFonts w:hint="eastAsia"/>
          <w:lang w:val="en-US"/>
        </w:rPr>
        <w:t>防治荒漠化、濒危野生动植物、生物多样性等国际公约履约工作。</w:t>
      </w:r>
    </w:p>
    <w:p w14:paraId="75B7D8B7">
      <w:pPr>
        <w:ind w:firstLine="480"/>
        <w:rPr>
          <w:rFonts w:hint="eastAsia"/>
          <w:lang w:val="en-US"/>
        </w:rPr>
      </w:pPr>
      <w:r>
        <w:rPr>
          <w:rFonts w:hint="eastAsia"/>
          <w:lang w:val="en-US"/>
        </w:rPr>
        <w:t>(十二）完成市委、市政府交办的其他任务，</w:t>
      </w:r>
    </w:p>
    <w:p w14:paraId="75B7D8B8">
      <w:pPr>
        <w:ind w:firstLine="480"/>
        <w:rPr>
          <w:rFonts w:hint="eastAsia"/>
          <w:lang w:val="en-US"/>
        </w:rPr>
      </w:pPr>
      <w:r>
        <w:rPr>
          <w:rFonts w:hint="eastAsia"/>
          <w:lang w:val="en-US"/>
        </w:rPr>
        <w:t>(十三）职能转变。切实加大生态系统保护力度，实施重要生态系统保护和修复工程，加强森林、草原、湿地监督管理的统筹协调，</w:t>
      </w:r>
    </w:p>
    <w:p w14:paraId="75B7D8B9">
      <w:pPr>
        <w:ind w:firstLine="480"/>
        <w:rPr>
          <w:rFonts w:hint="eastAsia"/>
          <w:lang w:val="en-US"/>
        </w:rPr>
      </w:pPr>
      <w:r>
        <w:rPr>
          <w:rFonts w:hint="eastAsia"/>
          <w:lang w:val="en-US"/>
        </w:rPr>
        <w:t>大力推进国土绿化，保障生态安全。加快建立以国家公园为主体的自然保护地体系，统一推进全市各类自然保护地的清理规范和归并整合，构建统一规范高效的国家公园体制。</w:t>
      </w:r>
    </w:p>
    <w:p w14:paraId="75B7D8BA">
      <w:pPr>
        <w:pStyle w:val="18"/>
        <w:ind w:firstLine="480"/>
        <w:rPr>
          <w:rFonts w:hint="eastAsia"/>
        </w:rPr>
      </w:pPr>
    </w:p>
    <w:p w14:paraId="75B7D8BB">
      <w:pPr>
        <w:pStyle w:val="3"/>
        <w:rPr>
          <w:lang w:val="en-US"/>
        </w:rPr>
      </w:pPr>
      <w:bookmarkStart w:id="39" w:name="_Toc16600"/>
      <w:bookmarkStart w:id="40" w:name="_Toc28204"/>
      <w:r>
        <w:rPr>
          <w:rFonts w:hint="eastAsia"/>
          <w:lang w:val="en-US"/>
        </w:rPr>
        <w:t>项目实施机构与职责</w:t>
      </w:r>
      <w:bookmarkEnd w:id="39"/>
      <w:bookmarkEnd w:id="40"/>
    </w:p>
    <w:p w14:paraId="75B7D8BC">
      <w:pPr>
        <w:ind w:firstLine="480"/>
        <w:rPr>
          <w:rFonts w:hint="eastAsia"/>
          <w:lang w:val="en-US"/>
        </w:rPr>
      </w:pPr>
      <w:r>
        <w:rPr>
          <w:rFonts w:hint="eastAsia"/>
          <w:lang w:val="en-US"/>
        </w:rPr>
        <w:t>森林防火科：</w:t>
      </w:r>
    </w:p>
    <w:p w14:paraId="75B7D8BD">
      <w:pPr>
        <w:ind w:firstLine="480"/>
        <w:rPr>
          <w:rFonts w:hint="eastAsia"/>
          <w:lang w:val="en-US"/>
        </w:rPr>
      </w:pPr>
      <w:r>
        <w:rPr>
          <w:rFonts w:hint="eastAsia"/>
          <w:lang w:val="en-US"/>
        </w:rPr>
        <w:t>负责落实综合防灾减灾规划相关要求，组织编制森林火灾防治规划和防护标准并指导实施；组织、指导开展防火巡护、火源管理、防火设施建设、火情早期处理等工作并监督检查；指导基层林业部门配合做好森林火灾处置相关工作；组织指导国有林场、森林公园、林区、风景名胜区等各类自然保护地开展宣传教育、监测预警、督促检查等防火工作；指导森林公安机关查处森林火灾案件和野外违规用火行为。必要时，可以按程序提请，以市森防指名义部署相关防治工作。</w:t>
      </w:r>
    </w:p>
    <w:p w14:paraId="75B7D8BE">
      <w:pPr>
        <w:ind w:firstLine="480"/>
        <w:rPr>
          <w:rFonts w:hint="eastAsia"/>
          <w:lang w:val="en-US"/>
        </w:rPr>
      </w:pPr>
      <w:r>
        <w:rPr>
          <w:rFonts w:hint="eastAsia"/>
          <w:lang w:val="en-US"/>
        </w:rPr>
        <w:t>《中华人民共和国森林法》第三十四条：</w:t>
      </w:r>
    </w:p>
    <w:p w14:paraId="75B7D8BF">
      <w:pPr>
        <w:ind w:firstLine="480"/>
        <w:rPr>
          <w:rFonts w:hint="eastAsia"/>
          <w:lang w:val="en-US"/>
        </w:rPr>
      </w:pPr>
      <w:r>
        <w:rPr>
          <w:rFonts w:hint="eastAsia"/>
          <w:lang w:val="en-US"/>
        </w:rPr>
        <w:t>（一）组织开展森林防火宣传活动，普及森林防火知识；</w:t>
      </w:r>
    </w:p>
    <w:p w14:paraId="75B7D8C0">
      <w:pPr>
        <w:ind w:firstLine="480"/>
        <w:rPr>
          <w:rFonts w:hint="eastAsia"/>
          <w:lang w:val="en-US"/>
        </w:rPr>
      </w:pPr>
      <w:r>
        <w:rPr>
          <w:rFonts w:hint="eastAsia"/>
          <w:lang w:val="en-US"/>
        </w:rPr>
        <w:t>（二）划定森林防火区，规定森林防火期；</w:t>
      </w:r>
    </w:p>
    <w:p w14:paraId="75B7D8C1">
      <w:pPr>
        <w:ind w:firstLine="480"/>
        <w:rPr>
          <w:rFonts w:hint="eastAsia"/>
          <w:lang w:val="en-US"/>
        </w:rPr>
      </w:pPr>
      <w:r>
        <w:rPr>
          <w:rFonts w:hint="eastAsia"/>
          <w:lang w:val="en-US"/>
        </w:rPr>
        <w:t>（三）设置防火设施，配备防灭火装备和物资；</w:t>
      </w:r>
    </w:p>
    <w:p w14:paraId="75B7D8C2">
      <w:pPr>
        <w:ind w:firstLine="480"/>
        <w:rPr>
          <w:rFonts w:hint="eastAsia"/>
          <w:lang w:val="en-US"/>
        </w:rPr>
      </w:pPr>
      <w:r>
        <w:rPr>
          <w:rFonts w:hint="eastAsia"/>
          <w:lang w:val="en-US"/>
        </w:rPr>
        <w:t>（四）建立森林火灾监测预警体系，及时消除隐患；</w:t>
      </w:r>
    </w:p>
    <w:p w14:paraId="75B7D8C3">
      <w:pPr>
        <w:ind w:firstLine="480"/>
        <w:rPr>
          <w:rFonts w:hint="eastAsia"/>
          <w:lang w:val="en-US"/>
        </w:rPr>
      </w:pPr>
      <w:r>
        <w:rPr>
          <w:rFonts w:hint="eastAsia"/>
          <w:lang w:val="en-US"/>
        </w:rPr>
        <w:t>（五）制定森林火灾应急预案，发生森林火灾，立即组织扑救；</w:t>
      </w:r>
    </w:p>
    <w:p w14:paraId="75B7D8C4">
      <w:pPr>
        <w:ind w:firstLine="480"/>
        <w:rPr>
          <w:rFonts w:hint="eastAsia"/>
          <w:lang w:val="en-US"/>
        </w:rPr>
      </w:pPr>
      <w:r>
        <w:rPr>
          <w:rFonts w:hint="eastAsia"/>
          <w:lang w:val="en-US"/>
        </w:rPr>
        <w:t>（六）保障预防和扑救森林火灾所需费用。</w:t>
      </w:r>
    </w:p>
    <w:p w14:paraId="75B7D8C5">
      <w:pPr>
        <w:ind w:firstLine="480"/>
        <w:rPr>
          <w:rFonts w:hint="eastAsia"/>
          <w:lang w:val="en-US"/>
        </w:rPr>
      </w:pPr>
    </w:p>
    <w:p w14:paraId="75B7D8C6">
      <w:pPr>
        <w:pStyle w:val="2"/>
        <w:rPr>
          <w:rFonts w:hint="eastAsia"/>
          <w:lang w:val="en-US"/>
        </w:rPr>
      </w:pPr>
      <w:bookmarkStart w:id="41" w:name="_Toc21519"/>
      <w:bookmarkStart w:id="42" w:name="_Toc8465"/>
      <w:r>
        <w:rPr>
          <w:rFonts w:hint="eastAsia"/>
          <w:lang w:val="en-US"/>
        </w:rPr>
        <w:t>项目建设的必要性</w:t>
      </w:r>
      <w:bookmarkEnd w:id="41"/>
      <w:bookmarkEnd w:id="42"/>
    </w:p>
    <w:p w14:paraId="75B7D8C7">
      <w:pPr>
        <w:pStyle w:val="3"/>
        <w:rPr>
          <w:lang w:val="en-US"/>
        </w:rPr>
      </w:pPr>
      <w:bookmarkStart w:id="43" w:name="_Toc22270"/>
      <w:bookmarkStart w:id="44" w:name="_Toc4610"/>
      <w:r>
        <w:rPr>
          <w:rFonts w:hint="eastAsia"/>
          <w:lang w:val="en-US"/>
        </w:rPr>
        <w:t>项目提出的背景</w:t>
      </w:r>
      <w:bookmarkEnd w:id="43"/>
      <w:bookmarkEnd w:id="44"/>
    </w:p>
    <w:p w14:paraId="75B7D8C8">
      <w:pPr>
        <w:ind w:left="-2" w:leftChars="-1" w:firstLine="480"/>
        <w:rPr>
          <w:rFonts w:hint="eastAsia"/>
        </w:rPr>
      </w:pPr>
      <w:r>
        <w:rPr>
          <w:rFonts w:hint="eastAsia"/>
        </w:rPr>
        <w:t>森林火灾，是指失去人为控制，在林地内自由蔓延和扩展，对森林、森林生态系统和人类带来一定危害和损失的林火行为。森林火灾是一种突发性强、破坏性大、处置扑救极为困难的自然灾害，大火可能造成惨重的人员伤亡和财产损失。2019年3月30日，四川省凉山州木里藏族自治县林区发生森林火灾，由于突发林火爆燃，导致27名森林消防队员和3名地方干部群众牺牲，造成了巨大的生态环境破坏和人身财产损失。因此，预防及扑救森林火灾形势严峻，任务艰巨。</w:t>
      </w:r>
    </w:p>
    <w:p w14:paraId="75B7D8C9">
      <w:pPr>
        <w:ind w:left="-2" w:leftChars="-1" w:firstLine="480"/>
        <w:rPr>
          <w:rFonts w:hint="eastAsia"/>
        </w:rPr>
      </w:pPr>
      <w:r>
        <w:rPr>
          <w:rFonts w:hint="eastAsia"/>
        </w:rPr>
        <w:t>党和国家高度重视森林防火工作，党的十八大把生态文明建设纳入中国特色社会主义事业“五位一体”总体布局，党中央、国务院颁布了《关于加快推进生态文明建设的意见》和《生态文明体制改革总体方案》。党的十九大再次强调生态文明建设必须坚持人与自然和谐共生，2019年4月8日，习近平总书记在参加首都义务植树活动时强调，要加强森林管护，推动国土绿化不断取得实实在在的成效。2018年5月18日，习近平总书记在全国生态环境保护大会上指出，生态环境是关系党的使命宗旨的重大政治问题，也是关系民生的重大社会问题。森林覆盖率和蓄积量成为国家经济社会发展的约束性指标，林业建设和生态保护成为党政领导干部政绩考核的重要内容。</w:t>
      </w:r>
    </w:p>
    <w:p w14:paraId="75B7D8CA">
      <w:pPr>
        <w:ind w:left="-2" w:leftChars="-1" w:firstLine="480"/>
        <w:rPr>
          <w:rFonts w:hint="eastAsia"/>
        </w:rPr>
      </w:pPr>
      <w:r>
        <w:rPr>
          <w:rFonts w:hint="eastAsia"/>
        </w:rPr>
        <w:t>历年来，党中央、国务院和森林防火主管部门高度重视护林防火工作，出台了一系列政策措施，推进森林消防工作有序开展。2016年3月4日，国家林业和草原局印发《全国森林防火规划(2016—2025年）》，为全国森林防火工作指明了方向。2020年10月26日，国务院办公厅印发《国家森林火灾应急预案》，要求按照党中央、国务院决策部署，坚持人民至上、生命至上，进一步完善体制机制，依法有力有序有效处置森林火灾，最大程度减少人员伤亡和财产损失，保护森林资源，维护生态安全。</w:t>
      </w:r>
    </w:p>
    <w:p w14:paraId="75B7D8CB">
      <w:pPr>
        <w:ind w:left="-2" w:leftChars="-1" w:firstLine="480"/>
        <w:rPr>
          <w:rFonts w:hint="eastAsia"/>
        </w:rPr>
      </w:pPr>
      <w:r>
        <w:rPr>
          <w:rFonts w:hint="eastAsia"/>
        </w:rPr>
        <w:t>湖南省委、省政府和林业主管部门高度重视森林防火工作，在推进森林防火工作责任制、森林防火基础设施建设等方面开展了大量卓有成效的工作。2018年11月30日，湖南省第十三届人民代表大会常务委员会第八次会议通过了《湖南省森林防火若干规定》，明确了各级政府行政首长负责制、火情报告制度、约谈制度、责任追究制度等，各级政府应当将森林防火工作纳入目标管理考核范围和应急管理范围，对全省有效预防和扑救森林火灾具有重大意义。2018年7月23日，湖南省林业厅、省发展和改革委员会、省财政厅联合印发《湖南省森林防火规划（2018—2025年）》，明确了湖南省森林防火发展的总体思路、发展目标和建设重点。</w:t>
      </w:r>
    </w:p>
    <w:p w14:paraId="75B7D8CC">
      <w:pPr>
        <w:ind w:left="-2" w:leftChars="-1" w:firstLine="480"/>
        <w:rPr>
          <w:rFonts w:hint="eastAsia"/>
        </w:rPr>
      </w:pPr>
      <w:r>
        <w:rPr>
          <w:rFonts w:hint="eastAsia"/>
        </w:rPr>
        <w:t>近年来，全省国土绿化不断推进，特别是实施封山育林、森林禁伐减伐三年行动和全面停止天然林商业性采伐后，林地面积已达55.26万公顷，森林覆盖率达45.32%，活立木总蓄积达2546.75万立方米，林下可燃物积累加快，部分地区达到每公顷50—60吨，已超出发生重特大森林火灾临界值近1倍。岳阳市是湖南人口密度较大地区之一，大多数群众受传统生产方式和祭祀习俗的影响，“烧荒”“烧秸秆”“烧田埂”等农事用火仍然存在，春节、清明等节日上坟祭祖、焚香烧纸、燃放烟花爆竹等现象比较普遍。加之森林旅游方兴未艾、森林康养发展迅速、林下种植规模扩大，进入林区的人员逐年增多，火灾隐患不断增加，野外火源管理极其困难，森林防火管理难度加大。</w:t>
      </w:r>
    </w:p>
    <w:p w14:paraId="75B7D8CD">
      <w:pPr>
        <w:ind w:left="-2" w:leftChars="-1" w:firstLine="480"/>
        <w:rPr>
          <w:rFonts w:hint="eastAsia"/>
        </w:rPr>
      </w:pPr>
      <w:r>
        <w:rPr>
          <w:rFonts w:hint="eastAsia"/>
        </w:rPr>
        <w:t>项目建设地点云溪区、平江县、岳阳县、临湘市、汨罗市属于森林火灾高风险区，也是岳阳市森林资源最丰富、最集中的地区。然而，项目区森林防火基础设施还不完备、防火装备较为落后、防火物资还较匮乏、消防队伍建设仍不完善，森林火灾隐患较大。更重要的是，云溪区、岳阳县等地分布多家大型化工厂，且化工厂与森林唇齿相依，山中有厂，厂中有山，地形复杂，山高林密，针阔混交林分布集中，植被类型丰富，冬春气候干燥多风，极端干旱天气时有发生，一旦发生火灾，扑救极其困难，易酿成林中化工厂区出现重大森林火灾及化工厂区二次重特大灾害。因此项目区开展森林火灾综合治理工程建设十分迫切和必要。</w:t>
      </w:r>
    </w:p>
    <w:p w14:paraId="75B7D8CE">
      <w:pPr>
        <w:ind w:left="-2" w:leftChars="-1" w:firstLine="480"/>
        <w:rPr>
          <w:rFonts w:hint="eastAsia"/>
        </w:rPr>
      </w:pPr>
      <w:r>
        <w:rPr>
          <w:rFonts w:hint="eastAsia"/>
        </w:rPr>
        <w:t>为贯彻落实《全国森林防火规划（2016—2025年）》实施要求及湖南省委、省政府关于加强森林防灭火工作的指示，适应新形势下森林防灭火工作的建设要求，岳阳市林业局以项目区森林防火建设实际需求为依据，决定申请实施“湖南省岳阳市森林火灾高风险区综合治理能力提升信息化建设”。</w:t>
      </w:r>
    </w:p>
    <w:p w14:paraId="75B7D8CF">
      <w:pPr>
        <w:ind w:left="-2" w:leftChars="-1" w:firstLine="480"/>
        <w:rPr>
          <w:rFonts w:hint="eastAsia"/>
          <w:lang w:val="en-US"/>
        </w:rPr>
      </w:pPr>
      <w:r>
        <w:rPr>
          <w:rFonts w:hint="eastAsia"/>
          <w:lang w:val="en-US"/>
        </w:rPr>
        <w:t>项目符合市级“低空经济”产业战略，岳阳市委、市政府已将低空经济作为重点产业纳入“1+3+X”现代化产业体系，并成立了由市领导牵头的工作专班统筹发展，明确要“抢占低空经济发展新赛道，以快致胜，加快打造应用场景”。目前，低空经济已在农业、物流、航道监测等领域落地应用。因此，本项目将无人机应用于森林防火，正属于政府重点推动的产业落地和场景拓展范畴。项目精准响应市级“森林防火”核心政令，市委、市政府主要领导签发的《2025年第2号林长令》是当前森林防火工作的最高行动纲领，而本项目是其直接践行者：直接落实“技防”要求：林长令明确要求“深化‘技防’手段”，并具体提出要“建立无人机巡护补充机制，实现重点林区全天候动态监测”。本项目正是构建无人机巡护体系的实体工程，完全符合市级规划的立体防护网构建思路。</w:t>
      </w:r>
    </w:p>
    <w:p w14:paraId="75B7D8D0">
      <w:pPr>
        <w:pStyle w:val="3"/>
        <w:rPr>
          <w:lang w:val="en-US"/>
        </w:rPr>
      </w:pPr>
      <w:bookmarkStart w:id="45" w:name="_Toc26819"/>
      <w:r>
        <w:rPr>
          <w:rFonts w:hint="eastAsia"/>
          <w:lang w:val="en-US"/>
        </w:rPr>
        <w:t>项目现状分析</w:t>
      </w:r>
      <w:bookmarkEnd w:id="45"/>
    </w:p>
    <w:p w14:paraId="75B7D8D1">
      <w:pPr>
        <w:pStyle w:val="4"/>
        <w:rPr>
          <w:rFonts w:hint="eastAsia"/>
          <w:lang w:val="en-US"/>
        </w:rPr>
      </w:pPr>
      <w:bookmarkStart w:id="46" w:name="_Toc21620"/>
      <w:r>
        <w:rPr>
          <w:rFonts w:hint="eastAsia"/>
          <w:lang w:val="en-US"/>
        </w:rPr>
        <w:t>岳阳林区现状情况</w:t>
      </w:r>
      <w:bookmarkEnd w:id="46"/>
    </w:p>
    <w:p w14:paraId="75B7D8D2">
      <w:pPr>
        <w:ind w:left="-2" w:leftChars="-1" w:firstLine="480"/>
        <w:rPr>
          <w:rFonts w:hint="eastAsia"/>
          <w:lang w:val="en-US"/>
        </w:rPr>
      </w:pPr>
      <w:r>
        <w:rPr>
          <w:lang w:val="en-US"/>
        </w:rPr>
        <w:t>平江县作为岳阳林业大县，土地面积41.18万公顷，占统计总面积的39%，林地面积28.87万公顷，占全市林地总量的51.8%；有林地面积27.14万公顷，特规灌木林400公顷，森林覆盖率达63.28%，活立木蓄积501万立方米，是岳阳市森林资源最丰富、生态屏障功能最突出的区域，承担着汨罗江水源涵养、生物多样性保护等重要生态功能。</w:t>
      </w:r>
    </w:p>
    <w:p w14:paraId="75B7D8D3">
      <w:pPr>
        <w:ind w:left="-2" w:leftChars="-1" w:firstLine="480"/>
        <w:rPr>
          <w:rFonts w:hint="eastAsia"/>
          <w:lang w:val="en-US"/>
        </w:rPr>
      </w:pPr>
      <w:r>
        <w:rPr>
          <w:lang w:val="en-US"/>
        </w:rPr>
        <w:t>临湘市、汨罗市、云溪区、岳阳县林地面积依次为9.55万公顷、6.4万公顷、1.49万公顷、9.44万公顷，森林覆盖率分别为56.8%、47%、37.58%、30.5%。其中临湘市活立木蓄积206万立方米，是除平江外森林资源较为丰富的区域，其与三省六县接壤的地理位置，使其成为岳阳市边界森林防火的重点区域；岳阳县森林覆盖率最低，仅30.5%，活立木蓄积13万立方米，且有林地面积8.37万公顷，特规灌木林270公顷，森林质量有待提升。</w:t>
      </w:r>
    </w:p>
    <w:p w14:paraId="75B7D8D4">
      <w:pPr>
        <w:ind w:left="-2" w:leftChars="-1" w:firstLine="480"/>
        <w:rPr>
          <w:rFonts w:hint="eastAsia"/>
          <w:lang w:val="en-US"/>
        </w:rPr>
      </w:pPr>
      <w:r>
        <w:rPr>
          <w:lang w:val="en-US"/>
        </w:rPr>
        <w:t>整体来看，岳阳市森林资源分布不均，平江县独揽近半林地资源，其他县市区森林覆盖率差异较大，这为森林防火、资源管护带来了差异化挑战：平江县需重点关注大面积林区的火源管控与生态保护，临湘市需强化边界联防联控，岳阳县则需通过造林绿化与森林质量精准提升工程，提高森林覆盖率与生态功能。</w:t>
      </w:r>
    </w:p>
    <w:p w14:paraId="75B7D8D5">
      <w:pPr>
        <w:pStyle w:val="4"/>
        <w:rPr>
          <w:rFonts w:hint="eastAsia"/>
          <w:lang w:val="en-US"/>
        </w:rPr>
      </w:pPr>
      <w:bookmarkStart w:id="47" w:name="_Toc15217"/>
      <w:r>
        <w:rPr>
          <w:rFonts w:hint="eastAsia"/>
          <w:lang w:val="en-US"/>
        </w:rPr>
        <w:t>市林业局及区县现状分析</w:t>
      </w:r>
      <w:bookmarkEnd w:id="47"/>
    </w:p>
    <w:p w14:paraId="75B7D8D6">
      <w:pPr>
        <w:pStyle w:val="5"/>
        <w:rPr>
          <w:lang w:val="en-US"/>
        </w:rPr>
      </w:pPr>
      <w:bookmarkStart w:id="48" w:name="_Toc29972"/>
      <w:r>
        <w:rPr>
          <w:rFonts w:hint="eastAsia"/>
          <w:lang w:val="en-US"/>
        </w:rPr>
        <w:t>市林业局信息化现状</w:t>
      </w:r>
    </w:p>
    <w:p w14:paraId="75B7D8D7">
      <w:pPr>
        <w:ind w:left="-2" w:leftChars="-1" w:firstLine="480"/>
        <w:rPr>
          <w:rFonts w:hint="eastAsia"/>
          <w:lang w:val="en-US"/>
        </w:rPr>
      </w:pPr>
      <w:r>
        <w:rPr>
          <w:rFonts w:hint="eastAsia"/>
          <w:lang w:val="en-US"/>
        </w:rPr>
        <w:t>岳阳市林业局信息化建设相对滞后，目前有个小型机房，位于5楼值班室，机房面积约20个平方，主要用于指挥值班室的视频会议系统部署。2015年，投资约600万建设森林防火风险监控台，其中包含监控、建房、高空摄像头等。因年限久远同时缺少运维团队进行运维，使用部门机构改革该项目基本废止。截至至今，无安全、其他应用服务器及存储等信息化相关设备，仅网络相关设施设备。</w:t>
      </w:r>
    </w:p>
    <w:p w14:paraId="75B7D8D8">
      <w:pPr>
        <w:pStyle w:val="18"/>
        <w:rPr>
          <w:rFonts w:hint="eastAsia"/>
          <w:lang w:val="en-US"/>
        </w:rPr>
      </w:pPr>
      <w:r>
        <w:rPr>
          <w:rFonts w:hint="eastAsia"/>
          <w:lang w:val="en-US"/>
        </w:rPr>
        <w:t>具体情况如下：</w:t>
      </w:r>
    </w:p>
    <w:p w14:paraId="75B7D8D9">
      <w:pPr>
        <w:ind w:left="-2" w:leftChars="-1" w:firstLine="480"/>
        <w:rPr>
          <w:rFonts w:hint="eastAsia"/>
          <w:lang w:val="en-US"/>
        </w:rPr>
      </w:pPr>
      <w:r>
        <w:rPr>
          <w:rFonts w:hint="eastAsia"/>
          <w:lang w:val="en-US"/>
        </w:rPr>
        <w:t>一、机房现状情况：</w:t>
      </w:r>
    </w:p>
    <w:p w14:paraId="75B7D8DA">
      <w:pPr>
        <w:ind w:left="-2" w:leftChars="-1" w:firstLine="480"/>
        <w:rPr>
          <w:rFonts w:hint="eastAsia"/>
          <w:lang w:val="en-US"/>
        </w:rPr>
      </w:pPr>
      <w:r>
        <w:rPr>
          <w:rFonts w:hint="eastAsia"/>
          <w:lang w:val="en-US"/>
        </w:rPr>
        <w:t>1.</w:t>
      </w:r>
      <w:r>
        <w:rPr>
          <w:lang w:val="en-US"/>
        </w:rPr>
        <w:t>模块化机柜与环境控制</w:t>
      </w:r>
    </w:p>
    <w:p w14:paraId="75B7D8DB">
      <w:pPr>
        <w:ind w:left="-2" w:leftChars="-1" w:firstLine="480"/>
        <w:rPr>
          <w:rFonts w:hint="eastAsia"/>
          <w:lang w:val="en-US"/>
        </w:rPr>
      </w:pPr>
      <w:r>
        <w:rPr>
          <w:lang w:val="en-US"/>
        </w:rPr>
        <w:t>采用科华42U模块化机柜系统，整合4个机柜单元，其中1个为配电UPS柜，3个为IT设备柜，通过冷热密闭风道设计优化散热。配备7.5KW直流变频精密空调，支持智能温控，确保机柜内温度稳定在18-25℃，适应设备长期高负荷运行。</w:t>
      </w:r>
    </w:p>
    <w:p w14:paraId="75B7D8DC">
      <w:pPr>
        <w:ind w:left="-2" w:leftChars="-1" w:firstLine="480"/>
        <w:rPr>
          <w:rFonts w:hint="eastAsia"/>
          <w:lang w:val="en-US"/>
        </w:rPr>
      </w:pPr>
      <w:r>
        <w:rPr>
          <w:rFonts w:hint="eastAsia"/>
          <w:lang w:val="en-US"/>
        </w:rPr>
        <w:t>2.</w:t>
      </w:r>
      <w:r>
        <w:rPr>
          <w:lang w:val="en-US"/>
        </w:rPr>
        <w:t>供配电与应急保障</w:t>
      </w:r>
    </w:p>
    <w:p w14:paraId="75B7D8DD">
      <w:pPr>
        <w:ind w:left="-2" w:leftChars="-1" w:firstLine="480"/>
        <w:rPr>
          <w:rFonts w:hint="eastAsia"/>
          <w:lang w:val="en-US"/>
        </w:rPr>
      </w:pPr>
      <w:r>
        <w:rPr>
          <w:lang w:val="en-US"/>
        </w:rPr>
        <w:t>部署20KVA UPS主机（科华KR1110-J），搭配16节100AH蓄电池及专用电池柜，提供断电后15分钟应急供电。配电模块支持125A总输入，分8路32A输出，集成C级浪涌防护，保障设备用电安全。</w:t>
      </w:r>
    </w:p>
    <w:p w14:paraId="75B7D8DE">
      <w:pPr>
        <w:ind w:left="-2" w:leftChars="-1" w:firstLine="480"/>
        <w:rPr>
          <w:rFonts w:hint="eastAsia"/>
          <w:lang w:val="en-US"/>
        </w:rPr>
      </w:pPr>
      <w:r>
        <w:rPr>
          <w:rFonts w:hint="eastAsia"/>
          <w:lang w:val="en-US"/>
        </w:rPr>
        <w:t>3.</w:t>
      </w:r>
      <w:r>
        <w:rPr>
          <w:lang w:val="en-US"/>
        </w:rPr>
        <w:t>智能监控与告警系统</w:t>
      </w:r>
    </w:p>
    <w:p w14:paraId="75B7D8DF">
      <w:pPr>
        <w:ind w:left="-2" w:leftChars="-1" w:firstLine="480"/>
        <w:rPr>
          <w:rFonts w:hint="eastAsia"/>
          <w:lang w:val="en-US"/>
        </w:rPr>
      </w:pPr>
      <w:r>
        <w:rPr>
          <w:lang w:val="en-US"/>
        </w:rPr>
        <w:t>Sitepro动力环境监控平台实时监测UPS状态、温湿度、机柜门禁等参数，7寸屏直观显示数据。配套漏水检测（5米线缆）、消防报警灯及GSM短信告警模块，异常情况自动触发声光与短信提醒，响应及时。</w:t>
      </w:r>
    </w:p>
    <w:p w14:paraId="75B7D8E0">
      <w:pPr>
        <w:ind w:left="-2" w:leftChars="-1" w:firstLine="480"/>
        <w:rPr>
          <w:rFonts w:hint="eastAsia"/>
          <w:lang w:val="en-US"/>
        </w:rPr>
      </w:pPr>
      <w:r>
        <w:rPr>
          <w:rFonts w:hint="eastAsia"/>
          <w:lang w:val="en-US"/>
        </w:rPr>
        <w:t>4.</w:t>
      </w:r>
      <w:r>
        <w:rPr>
          <w:lang w:val="en-US"/>
        </w:rPr>
        <w:t>配套设施完善</w:t>
      </w:r>
    </w:p>
    <w:p w14:paraId="75B7D8E1">
      <w:pPr>
        <w:ind w:left="-2" w:leftChars="-1" w:firstLine="480"/>
        <w:rPr>
          <w:rFonts w:hint="eastAsia"/>
          <w:lang w:val="en-US"/>
        </w:rPr>
      </w:pPr>
      <w:r>
        <w:rPr>
          <w:lang w:val="en-US"/>
        </w:rPr>
        <w:t>铺设40平方米防静电地板（600×600×40mm），安装6个16A PDU（12位国标输出口），辅材含隔热棉、阻燃线缆等，施工涵盖旧设备迁移与系统调试，确保机房规范有序。</w:t>
      </w:r>
    </w:p>
    <w:p w14:paraId="75B7D8E2">
      <w:pPr>
        <w:ind w:left="-2" w:leftChars="-1" w:firstLine="480"/>
        <w:rPr>
          <w:rFonts w:hint="eastAsia"/>
          <w:lang w:val="en-US"/>
        </w:rPr>
      </w:pPr>
      <w:r>
        <w:rPr>
          <w:lang w:val="en-US"/>
        </w:rPr>
        <w:t>二、</w:t>
      </w:r>
      <w:r>
        <w:rPr>
          <w:rFonts w:hint="eastAsia"/>
          <w:lang w:val="en-US"/>
        </w:rPr>
        <w:t>办公楼</w:t>
      </w:r>
      <w:r>
        <w:rPr>
          <w:lang w:val="en-US"/>
        </w:rPr>
        <w:t>网络</w:t>
      </w:r>
      <w:r>
        <w:rPr>
          <w:rFonts w:hint="eastAsia"/>
          <w:lang w:val="en-US"/>
        </w:rPr>
        <w:t>链路情况</w:t>
      </w:r>
    </w:p>
    <w:p w14:paraId="75B7D8E3">
      <w:pPr>
        <w:ind w:left="-2" w:leftChars="-1" w:firstLine="480"/>
        <w:rPr>
          <w:rFonts w:hint="eastAsia"/>
          <w:lang w:val="en-US"/>
        </w:rPr>
      </w:pPr>
      <w:r>
        <w:rPr>
          <w:rFonts w:hint="eastAsia"/>
          <w:lang w:val="en-US"/>
        </w:rPr>
        <w:t>1.</w:t>
      </w:r>
      <w:r>
        <w:rPr>
          <w:lang w:val="en-US"/>
        </w:rPr>
        <w:t>交换机与网络架构</w:t>
      </w:r>
    </w:p>
    <w:p w14:paraId="75B7D8E4">
      <w:pPr>
        <w:ind w:left="-2" w:leftChars="-1" w:firstLine="480"/>
        <w:rPr>
          <w:rFonts w:hint="eastAsia"/>
          <w:lang w:val="en-US"/>
        </w:rPr>
      </w:pPr>
      <w:r>
        <w:rPr>
          <w:lang w:val="en-US"/>
        </w:rPr>
        <w:t>采用4台锐捷RG-S2910-48GT交换机，每台提供48个千兆电口和4个万兆光口，支持高速数据交换。搭配4个600×600×600mm楼层机柜，形成星型网络拓扑，满足办公楼多区域接入需求。</w:t>
      </w:r>
    </w:p>
    <w:p w14:paraId="75B7D8E5">
      <w:pPr>
        <w:ind w:left="-2" w:leftChars="-1" w:firstLine="480"/>
        <w:rPr>
          <w:rFonts w:hint="eastAsia"/>
          <w:lang w:val="en-US"/>
        </w:rPr>
      </w:pPr>
      <w:r>
        <w:rPr>
          <w:rFonts w:hint="eastAsia"/>
          <w:lang w:val="en-US"/>
        </w:rPr>
        <w:t>2.</w:t>
      </w:r>
      <w:r>
        <w:rPr>
          <w:lang w:val="en-US"/>
        </w:rPr>
        <w:t>传输介质与布线规范</w:t>
      </w:r>
    </w:p>
    <w:p w14:paraId="75B7D8E6">
      <w:pPr>
        <w:ind w:left="-2" w:leftChars="-1" w:firstLine="480"/>
        <w:rPr>
          <w:rFonts w:hint="eastAsia"/>
          <w:lang w:val="en-US"/>
        </w:rPr>
      </w:pPr>
      <w:r>
        <w:rPr>
          <w:lang w:val="en-US"/>
        </w:rPr>
        <w:t>铜缆：敷设30箱六类网线（0.57mm无氧铜芯）和35箱超五类电话线（0.51mm带屏蔽层），支持千兆网络传输，适配电脑、电话等终端设备。</w:t>
      </w:r>
    </w:p>
    <w:p w14:paraId="75B7D8E7">
      <w:pPr>
        <w:ind w:left="-2" w:leftChars="-1" w:firstLine="480"/>
        <w:rPr>
          <w:rFonts w:hint="eastAsia"/>
          <w:lang w:val="en-US"/>
        </w:rPr>
      </w:pPr>
      <w:r>
        <w:rPr>
          <w:lang w:val="en-US"/>
        </w:rPr>
        <w:t>光纤：部署500米8芯单模光纤，熔接20个点位，配置5对光模块，构建高速骨干链路，满足高清视频、大数据传输需求。</w:t>
      </w:r>
    </w:p>
    <w:p w14:paraId="75B7D8E8">
      <w:pPr>
        <w:ind w:left="-2" w:leftChars="-1" w:firstLine="480"/>
        <w:rPr>
          <w:rFonts w:hint="eastAsia"/>
          <w:lang w:val="en-US"/>
        </w:rPr>
      </w:pPr>
      <w:r>
        <w:rPr>
          <w:rFonts w:hint="eastAsia"/>
          <w:lang w:val="en-US"/>
        </w:rPr>
        <w:t>3.</w:t>
      </w:r>
      <w:r>
        <w:rPr>
          <w:lang w:val="en-US"/>
        </w:rPr>
        <w:t>物理链路与信息点覆盖</w:t>
      </w:r>
    </w:p>
    <w:p w14:paraId="75B7D8E9">
      <w:pPr>
        <w:ind w:left="-2" w:leftChars="-1" w:firstLine="480"/>
        <w:rPr>
          <w:rFonts w:hint="eastAsia"/>
          <w:lang w:val="en-US"/>
        </w:rPr>
      </w:pPr>
      <w:r>
        <w:rPr>
          <w:lang w:val="en-US"/>
        </w:rPr>
        <w:t>安装280米100×100mm镀锌桥架和2500米PVC管（16#/20#/25#），规范线缆走向。设置202个信息点，包括140个网络接口（六类模块）和98个电话接口，配备140个86型面板及底盒，10个24口理线架，保障布线整洁有序。</w:t>
      </w:r>
    </w:p>
    <w:p w14:paraId="75B7D8EA">
      <w:pPr>
        <w:ind w:left="-2" w:leftChars="-1" w:firstLine="480"/>
        <w:rPr>
          <w:rFonts w:hint="eastAsia"/>
          <w:lang w:val="en-US"/>
        </w:rPr>
      </w:pPr>
      <w:r>
        <w:rPr>
          <w:rFonts w:hint="eastAsia"/>
          <w:lang w:val="en-US"/>
        </w:rPr>
        <w:t>4.</w:t>
      </w:r>
      <w:r>
        <w:rPr>
          <w:lang w:val="en-US"/>
        </w:rPr>
        <w:t>施工与辅材保障</w:t>
      </w:r>
    </w:p>
    <w:p w14:paraId="75B7D8EB">
      <w:pPr>
        <w:ind w:left="-2" w:leftChars="-1" w:firstLine="480"/>
        <w:rPr>
          <w:rFonts w:hint="eastAsia"/>
          <w:lang w:val="en-US"/>
        </w:rPr>
      </w:pPr>
      <w:r>
        <w:rPr>
          <w:lang w:val="en-US"/>
        </w:rPr>
        <w:t>施工涵盖桥架安装、线缆敷设、模块打线、面板安装等全流程，辅材含波纹管、打线标签、防火封堵材料等，确保链路稳定与安全。</w:t>
      </w:r>
    </w:p>
    <w:p w14:paraId="75B7D8EC">
      <w:pPr>
        <w:pStyle w:val="5"/>
        <w:rPr>
          <w:lang w:val="en-US"/>
        </w:rPr>
      </w:pPr>
      <w:r>
        <w:rPr>
          <w:rFonts w:hint="eastAsia"/>
          <w:lang w:val="en-US"/>
        </w:rPr>
        <w:t>森林防灭火现状</w:t>
      </w:r>
    </w:p>
    <w:p w14:paraId="75B7D8ED">
      <w:pPr>
        <w:ind w:left="-2" w:leftChars="-1" w:firstLine="480"/>
        <w:rPr>
          <w:rFonts w:hint="eastAsia"/>
          <w:lang w:val="en-US"/>
        </w:rPr>
      </w:pPr>
      <w:r>
        <w:rPr>
          <w:rFonts w:hint="eastAsia"/>
          <w:lang w:val="en-US"/>
        </w:rPr>
        <w:t>一、基本情况</w:t>
      </w:r>
    </w:p>
    <w:p w14:paraId="75B7D8EE">
      <w:pPr>
        <w:ind w:left="-2" w:leftChars="-1" w:firstLine="480"/>
        <w:rPr>
          <w:rFonts w:hint="eastAsia"/>
          <w:lang w:val="en-US"/>
        </w:rPr>
      </w:pPr>
      <w:r>
        <w:rPr>
          <w:rFonts w:hint="eastAsia"/>
          <w:lang w:val="en-US"/>
        </w:rPr>
        <w:t>1.</w:t>
      </w:r>
      <w:r>
        <w:rPr>
          <w:lang w:val="en-US"/>
        </w:rPr>
        <w:t>平江县</w:t>
      </w:r>
    </w:p>
    <w:p w14:paraId="75B7D8EF">
      <w:pPr>
        <w:ind w:left="-2" w:leftChars="-1" w:firstLine="480"/>
        <w:rPr>
          <w:rFonts w:hint="eastAsia"/>
          <w:lang w:val="en-US"/>
        </w:rPr>
      </w:pPr>
      <w:r>
        <w:rPr>
          <w:lang w:val="en-US"/>
        </w:rPr>
        <w:t>林火瞭望监测依赖10套视频监控系统和1辆摩托车，4座瞭望塔/台未配备望远镜，通讯覆盖率达95%。</w:t>
      </w:r>
    </w:p>
    <w:p w14:paraId="75B7D8F0">
      <w:pPr>
        <w:numPr>
          <w:ilvl w:val="0"/>
          <w:numId w:val="12"/>
        </w:numPr>
        <w:ind w:left="-2" w:leftChars="-1" w:firstLine="480"/>
        <w:rPr>
          <w:rFonts w:hint="eastAsia"/>
          <w:lang w:val="en-US"/>
        </w:rPr>
      </w:pPr>
      <w:r>
        <w:rPr>
          <w:lang w:val="en-US"/>
        </w:rPr>
        <w:t>云溪区</w:t>
      </w:r>
    </w:p>
    <w:p w14:paraId="75B7D8F1">
      <w:pPr>
        <w:ind w:left="-2" w:leftChars="-1" w:firstLine="480"/>
        <w:rPr>
          <w:rFonts w:hint="eastAsia"/>
          <w:lang w:val="en-US"/>
        </w:rPr>
      </w:pPr>
      <w:r>
        <w:rPr>
          <w:lang w:val="en-US"/>
        </w:rPr>
        <w:t>云溪区生物防火林带5.6公里</w:t>
      </w:r>
      <w:r>
        <w:rPr>
          <w:rFonts w:hint="eastAsia"/>
          <w:lang w:val="en-US"/>
        </w:rPr>
        <w:t>，</w:t>
      </w:r>
      <w:r>
        <w:rPr>
          <w:lang w:val="en-US"/>
        </w:rPr>
        <w:t>林火瞭望监测有1座瞭望塔/台，瞭望覆盖率80%，无视频监控和摩托车</w:t>
      </w:r>
      <w:r>
        <w:rPr>
          <w:rFonts w:hint="eastAsia"/>
          <w:lang w:val="en-US"/>
        </w:rPr>
        <w:t>，</w:t>
      </w:r>
      <w:r>
        <w:rPr>
          <w:lang w:val="en-US"/>
        </w:rPr>
        <w:t>通讯覆盖率90%。半专业队伍100人。扑火器材有2号工具15把、点火器15个、灭火水枪5支。</w:t>
      </w:r>
    </w:p>
    <w:p w14:paraId="75B7D8F2">
      <w:pPr>
        <w:ind w:left="-2" w:leftChars="-1" w:firstLine="480"/>
        <w:rPr>
          <w:rFonts w:hint="eastAsia"/>
          <w:lang w:val="en-US"/>
        </w:rPr>
      </w:pPr>
      <w:r>
        <w:rPr>
          <w:rFonts w:hint="eastAsia"/>
          <w:lang w:val="en-US"/>
        </w:rPr>
        <w:t>3.</w:t>
      </w:r>
      <w:r>
        <w:rPr>
          <w:lang w:val="en-US"/>
        </w:rPr>
        <w:t>临湘市</w:t>
      </w:r>
    </w:p>
    <w:p w14:paraId="75B7D8F3">
      <w:pPr>
        <w:ind w:left="-2" w:leftChars="-1" w:firstLine="480"/>
        <w:rPr>
          <w:rFonts w:hint="eastAsia"/>
          <w:lang w:val="en-US"/>
        </w:rPr>
      </w:pPr>
      <w:r>
        <w:rPr>
          <w:lang w:val="en-US"/>
        </w:rPr>
        <w:t>临湘市林火阻隔网络完善，生物防火林带599公里、工程阻隔带173公里。火险预警监测中心1个、气象台站2个，计算机2台，视频监控系统1套。林火瞭望监测有3座瞭望塔/台、3台望远镜，瞭望覆盖率55%，无摩托车。通讯配备15台对讲机、3部短波电台，通讯覆盖率80%。防灭火队伍共750人，其中专业队伍21支729人。扑火器材丰富，包括2号工具800把、点火器3个、灭火水枪23支、背负式风力灭火机141台、油锯19台，配备森林消防车1辆。</w:t>
      </w:r>
    </w:p>
    <w:p w14:paraId="75B7D8F4">
      <w:pPr>
        <w:ind w:left="-2" w:leftChars="-1" w:firstLine="480"/>
        <w:rPr>
          <w:rFonts w:hint="eastAsia"/>
          <w:lang w:val="en-US"/>
        </w:rPr>
      </w:pPr>
      <w:r>
        <w:rPr>
          <w:rFonts w:hint="eastAsia"/>
          <w:lang w:val="en-US"/>
        </w:rPr>
        <w:t>4.</w:t>
      </w:r>
      <w:r>
        <w:rPr>
          <w:lang w:val="en-US"/>
        </w:rPr>
        <w:t>汨罗市</w:t>
      </w:r>
    </w:p>
    <w:p w14:paraId="75B7D8F5">
      <w:pPr>
        <w:ind w:left="-2" w:leftChars="-1" w:firstLine="480"/>
        <w:rPr>
          <w:rFonts w:hint="eastAsia"/>
          <w:lang w:val="en-US"/>
        </w:rPr>
      </w:pPr>
      <w:r>
        <w:rPr>
          <w:lang w:val="en-US"/>
        </w:rPr>
        <w:t>汨罗市生物防火林带130公里、工程阻隔带286公里。火险预警监测相关中心、台站及设备配置信息未明确，视频监控系统6套。林火瞭望监测有1座瞭望塔/台，瞭望覆盖率15%，无摩托车和望远镜。防灭火队伍共20人，专业队伍1支。扑火器材有2号工具50把、灭火水枪2支、背负式风力灭火机3台、油锯9台，配备运兵车1辆。</w:t>
      </w:r>
    </w:p>
    <w:p w14:paraId="75B7D8F6">
      <w:pPr>
        <w:ind w:left="-2" w:leftChars="-1" w:firstLine="480"/>
        <w:rPr>
          <w:rFonts w:hint="eastAsia"/>
          <w:lang w:val="en-US"/>
        </w:rPr>
      </w:pPr>
      <w:r>
        <w:rPr>
          <w:rFonts w:hint="eastAsia"/>
          <w:lang w:val="en-US"/>
        </w:rPr>
        <w:t>5.</w:t>
      </w:r>
      <w:r>
        <w:rPr>
          <w:lang w:val="en-US"/>
        </w:rPr>
        <w:t>岳阳县</w:t>
      </w:r>
    </w:p>
    <w:p w14:paraId="75B7D8F7">
      <w:pPr>
        <w:ind w:left="-2" w:leftChars="-1" w:firstLine="480"/>
        <w:rPr>
          <w:rFonts w:hint="eastAsia"/>
          <w:lang w:val="en-US"/>
        </w:rPr>
      </w:pPr>
      <w:r>
        <w:rPr>
          <w:lang w:val="en-US"/>
        </w:rPr>
        <w:t>岳阳县生物防火林带350公里、工程阻隔带200公里。火险预警监测中心1个、火险因子采集站2个，计算机2台，视频监控系统6套。林火瞭望监测有2座瞭望塔/台，瞭望覆盖率21%，无摩托车和望远镜。通讯配备10台对讲机、2部短波电台，通讯覆盖率100%。防灭火队伍共300人。扑火器材包括2号工具300把、灭火水枪15支、背负式风力灭火机20台、油锯6台，配备指挥车1辆。</w:t>
      </w:r>
    </w:p>
    <w:p w14:paraId="75B7D8F8">
      <w:pPr>
        <w:ind w:left="-2" w:leftChars="-1" w:firstLine="480"/>
        <w:rPr>
          <w:rFonts w:hint="eastAsia"/>
          <w:lang w:val="en-US"/>
        </w:rPr>
      </w:pPr>
      <w:r>
        <w:rPr>
          <w:rFonts w:hint="eastAsia"/>
          <w:lang w:val="en-US"/>
        </w:rPr>
        <w:t>二、存量高位监控现状</w:t>
      </w:r>
    </w:p>
    <w:p w14:paraId="75B7D8F9">
      <w:pPr>
        <w:ind w:firstLine="480"/>
        <w:rPr>
          <w:rFonts w:hint="eastAsia"/>
        </w:rPr>
      </w:pPr>
      <w:r>
        <w:rPr>
          <w:rFonts w:hint="eastAsia"/>
        </w:rPr>
        <w:t>本期拟对已建的</w:t>
      </w:r>
      <w:r>
        <w:rPr>
          <w:rFonts w:hint="eastAsia"/>
          <w:lang w:val="en-US"/>
        </w:rPr>
        <w:t>268</w:t>
      </w:r>
      <w:r>
        <w:rPr>
          <w:rFonts w:hint="eastAsia"/>
        </w:rPr>
        <w:t>处国土、森防监控进行存量接入</w:t>
      </w:r>
      <w:r>
        <w:rPr>
          <w:rFonts w:hint="eastAsia"/>
          <w:lang w:val="en-US"/>
        </w:rPr>
        <w:t>，型号为有大华DH-SD03-TT、SD03-TT-HN、DH-TPC-PT83CT；海康DS-2DE9440CP-SLP-HN2023等型号。268路摄像头前端运行正常，在第三方平台正常运行使用，可提供视频流。</w:t>
      </w:r>
    </w:p>
    <w:p w14:paraId="75B7D8FA">
      <w:pPr>
        <w:ind w:firstLine="0" w:firstLineChars="0"/>
        <w:rPr>
          <w:rFonts w:hint="eastAsia"/>
        </w:rPr>
      </w:pPr>
      <w:r>
        <w:rPr>
          <w:rFonts w:hint="eastAsia"/>
        </w:rPr>
        <w:t>通过数据专网统一接入地面火情监测子系统，实现全市林业部门业务需求监控。</w:t>
      </w:r>
    </w:p>
    <w:p w14:paraId="75B7D8FB">
      <w:pPr>
        <w:ind w:firstLine="480"/>
        <w:rPr>
          <w:rFonts w:hint="eastAsia"/>
        </w:rPr>
      </w:pPr>
      <w:r>
        <w:rPr>
          <w:rFonts w:hint="eastAsia"/>
        </w:rPr>
        <w:t>地面火情监测子系统共享点位情况如下：</w:t>
      </w:r>
    </w:p>
    <w:p w14:paraId="75B7D8FC">
      <w:pPr>
        <w:ind w:firstLine="480"/>
        <w:rPr>
          <w:rFonts w:hint="eastAsia"/>
        </w:rPr>
      </w:pPr>
      <w:r>
        <w:rPr>
          <w:rFonts w:hint="eastAsia"/>
        </w:rPr>
        <w:t>拟建共享视频监控268个，全部利旧共享。</w:t>
      </w:r>
    </w:p>
    <w:tbl>
      <w:tblPr>
        <w:tblStyle w:val="38"/>
        <w:tblW w:w="8633" w:type="dxa"/>
        <w:jc w:val="center"/>
        <w:tblLayout w:type="autofit"/>
        <w:tblCellMar>
          <w:top w:w="0" w:type="dxa"/>
          <w:left w:w="108" w:type="dxa"/>
          <w:bottom w:w="0" w:type="dxa"/>
          <w:right w:w="108" w:type="dxa"/>
        </w:tblCellMar>
      </w:tblPr>
      <w:tblGrid>
        <w:gridCol w:w="1285"/>
        <w:gridCol w:w="2419"/>
        <w:gridCol w:w="4929"/>
      </w:tblGrid>
      <w:tr w14:paraId="75B7D900">
        <w:tblPrEx>
          <w:tblCellMar>
            <w:top w:w="0" w:type="dxa"/>
            <w:left w:w="108" w:type="dxa"/>
            <w:bottom w:w="0" w:type="dxa"/>
            <w:right w:w="108" w:type="dxa"/>
          </w:tblCellMar>
        </w:tblPrEx>
        <w:trPr>
          <w:tblHeader/>
          <w:jc w:val="center"/>
        </w:trPr>
        <w:tc>
          <w:tcPr>
            <w:tcW w:w="1285"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5B7D8FD">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b/>
                <w:kern w:val="2"/>
                <w:sz w:val="21"/>
                <w:szCs w:val="21"/>
                <w:lang w:val="en-US" w:bidi="ar-SA"/>
              </w:rPr>
              <w:t>序号</w:t>
            </w:r>
          </w:p>
        </w:tc>
        <w:tc>
          <w:tcPr>
            <w:tcW w:w="2419" w:type="dxa"/>
            <w:tcBorders>
              <w:top w:val="single" w:color="auto" w:sz="4" w:space="0"/>
              <w:left w:val="nil"/>
              <w:bottom w:val="single" w:color="auto" w:sz="4" w:space="0"/>
              <w:right w:val="single" w:color="auto" w:sz="4" w:space="0"/>
            </w:tcBorders>
            <w:shd w:val="clear" w:color="000000" w:fill="FFFFFF"/>
            <w:noWrap/>
            <w:vAlign w:val="center"/>
          </w:tcPr>
          <w:p w14:paraId="75B7D8FE">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b/>
                <w:kern w:val="2"/>
                <w:sz w:val="21"/>
                <w:szCs w:val="21"/>
                <w:lang w:val="en-US" w:bidi="ar-SA"/>
              </w:rPr>
              <w:t>区域</w:t>
            </w:r>
          </w:p>
        </w:tc>
        <w:tc>
          <w:tcPr>
            <w:tcW w:w="4929" w:type="dxa"/>
            <w:tcBorders>
              <w:top w:val="single" w:color="auto" w:sz="4" w:space="0"/>
              <w:left w:val="nil"/>
              <w:bottom w:val="single" w:color="auto" w:sz="4" w:space="0"/>
              <w:right w:val="single" w:color="auto" w:sz="4" w:space="0"/>
            </w:tcBorders>
            <w:shd w:val="clear" w:color="000000" w:fill="FFFFFF"/>
            <w:vAlign w:val="center"/>
          </w:tcPr>
          <w:p w14:paraId="75B7D8FF">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b/>
                <w:kern w:val="2"/>
                <w:sz w:val="21"/>
                <w:szCs w:val="21"/>
                <w:lang w:val="en-US" w:bidi="ar-SA"/>
              </w:rPr>
              <w:t>共享存量监控点位数量</w:t>
            </w:r>
          </w:p>
        </w:tc>
      </w:tr>
      <w:tr w14:paraId="75B7D904">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901">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1</w:t>
            </w:r>
          </w:p>
        </w:tc>
        <w:tc>
          <w:tcPr>
            <w:tcW w:w="2419" w:type="dxa"/>
            <w:tcBorders>
              <w:top w:val="nil"/>
              <w:left w:val="nil"/>
              <w:bottom w:val="single" w:color="auto" w:sz="4" w:space="0"/>
              <w:right w:val="single" w:color="auto" w:sz="4" w:space="0"/>
            </w:tcBorders>
            <w:shd w:val="clear" w:color="000000" w:fill="FFFFFF"/>
            <w:noWrap/>
            <w:vAlign w:val="center"/>
          </w:tcPr>
          <w:p w14:paraId="75B7D902">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临湘市</w:t>
            </w:r>
          </w:p>
        </w:tc>
        <w:tc>
          <w:tcPr>
            <w:tcW w:w="4929" w:type="dxa"/>
            <w:tcBorders>
              <w:top w:val="nil"/>
              <w:left w:val="nil"/>
              <w:bottom w:val="single" w:color="auto" w:sz="4" w:space="0"/>
              <w:right w:val="single" w:color="auto" w:sz="4" w:space="0"/>
            </w:tcBorders>
            <w:shd w:val="clear" w:color="000000" w:fill="FFFFFF"/>
            <w:vAlign w:val="center"/>
          </w:tcPr>
          <w:p w14:paraId="75B7D90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37</w:t>
            </w:r>
          </w:p>
        </w:tc>
      </w:tr>
      <w:tr w14:paraId="75B7D908">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905">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3</w:t>
            </w:r>
          </w:p>
        </w:tc>
        <w:tc>
          <w:tcPr>
            <w:tcW w:w="2419" w:type="dxa"/>
            <w:tcBorders>
              <w:top w:val="nil"/>
              <w:left w:val="nil"/>
              <w:bottom w:val="single" w:color="auto" w:sz="4" w:space="0"/>
              <w:right w:val="single" w:color="auto" w:sz="4" w:space="0"/>
            </w:tcBorders>
            <w:shd w:val="clear" w:color="000000" w:fill="FFFFFF"/>
            <w:noWrap/>
            <w:vAlign w:val="center"/>
          </w:tcPr>
          <w:p w14:paraId="75B7D906">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汨罗市</w:t>
            </w:r>
          </w:p>
        </w:tc>
        <w:tc>
          <w:tcPr>
            <w:tcW w:w="4929" w:type="dxa"/>
            <w:tcBorders>
              <w:top w:val="nil"/>
              <w:left w:val="nil"/>
              <w:bottom w:val="single" w:color="auto" w:sz="4" w:space="0"/>
              <w:right w:val="single" w:color="auto" w:sz="4" w:space="0"/>
            </w:tcBorders>
            <w:shd w:val="clear" w:color="000000" w:fill="FFFFFF"/>
            <w:vAlign w:val="center"/>
          </w:tcPr>
          <w:p w14:paraId="75B7D90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25</w:t>
            </w:r>
          </w:p>
        </w:tc>
      </w:tr>
      <w:tr w14:paraId="75B7D90C">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909">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4</w:t>
            </w:r>
          </w:p>
        </w:tc>
        <w:tc>
          <w:tcPr>
            <w:tcW w:w="2419" w:type="dxa"/>
            <w:tcBorders>
              <w:top w:val="nil"/>
              <w:left w:val="nil"/>
              <w:bottom w:val="single" w:color="auto" w:sz="4" w:space="0"/>
              <w:right w:val="single" w:color="auto" w:sz="4" w:space="0"/>
            </w:tcBorders>
            <w:shd w:val="clear" w:color="000000" w:fill="FFFFFF"/>
            <w:noWrap/>
            <w:vAlign w:val="center"/>
          </w:tcPr>
          <w:p w14:paraId="75B7D90A">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平江县</w:t>
            </w:r>
          </w:p>
        </w:tc>
        <w:tc>
          <w:tcPr>
            <w:tcW w:w="4929" w:type="dxa"/>
            <w:tcBorders>
              <w:top w:val="nil"/>
              <w:left w:val="nil"/>
              <w:bottom w:val="single" w:color="auto" w:sz="4" w:space="0"/>
              <w:right w:val="single" w:color="auto" w:sz="4" w:space="0"/>
            </w:tcBorders>
            <w:shd w:val="clear" w:color="000000" w:fill="FFFFFF"/>
            <w:vAlign w:val="center"/>
          </w:tcPr>
          <w:p w14:paraId="75B7D90B">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134</w:t>
            </w:r>
          </w:p>
        </w:tc>
      </w:tr>
      <w:tr w14:paraId="75B7D910">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90D">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6</w:t>
            </w:r>
          </w:p>
        </w:tc>
        <w:tc>
          <w:tcPr>
            <w:tcW w:w="2419" w:type="dxa"/>
            <w:tcBorders>
              <w:top w:val="nil"/>
              <w:left w:val="nil"/>
              <w:bottom w:val="single" w:color="auto" w:sz="4" w:space="0"/>
              <w:right w:val="single" w:color="auto" w:sz="4" w:space="0"/>
            </w:tcBorders>
            <w:shd w:val="clear" w:color="000000" w:fill="FFFFFF"/>
            <w:noWrap/>
            <w:vAlign w:val="center"/>
          </w:tcPr>
          <w:p w14:paraId="75B7D90E">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岳阳县</w:t>
            </w:r>
          </w:p>
        </w:tc>
        <w:tc>
          <w:tcPr>
            <w:tcW w:w="4929" w:type="dxa"/>
            <w:tcBorders>
              <w:top w:val="nil"/>
              <w:left w:val="nil"/>
              <w:bottom w:val="single" w:color="auto" w:sz="4" w:space="0"/>
              <w:right w:val="single" w:color="auto" w:sz="4" w:space="0"/>
            </w:tcBorders>
            <w:shd w:val="clear" w:color="000000" w:fill="FFFFFF"/>
            <w:vAlign w:val="center"/>
          </w:tcPr>
          <w:p w14:paraId="75B7D90F">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44</w:t>
            </w:r>
          </w:p>
        </w:tc>
      </w:tr>
      <w:tr w14:paraId="75B7D914">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911">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7</w:t>
            </w:r>
          </w:p>
        </w:tc>
        <w:tc>
          <w:tcPr>
            <w:tcW w:w="2419" w:type="dxa"/>
            <w:tcBorders>
              <w:top w:val="nil"/>
              <w:left w:val="nil"/>
              <w:bottom w:val="single" w:color="auto" w:sz="4" w:space="0"/>
              <w:right w:val="single" w:color="auto" w:sz="4" w:space="0"/>
            </w:tcBorders>
            <w:shd w:val="clear" w:color="000000" w:fill="FFFFFF"/>
            <w:noWrap/>
            <w:vAlign w:val="center"/>
          </w:tcPr>
          <w:p w14:paraId="75B7D912">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岳阳楼区</w:t>
            </w:r>
          </w:p>
        </w:tc>
        <w:tc>
          <w:tcPr>
            <w:tcW w:w="4929" w:type="dxa"/>
            <w:tcBorders>
              <w:top w:val="nil"/>
              <w:left w:val="nil"/>
              <w:bottom w:val="single" w:color="auto" w:sz="4" w:space="0"/>
              <w:right w:val="single" w:color="auto" w:sz="4" w:space="0"/>
            </w:tcBorders>
            <w:shd w:val="clear" w:color="000000" w:fill="FFFFFF"/>
            <w:vAlign w:val="center"/>
          </w:tcPr>
          <w:p w14:paraId="75B7D91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13</w:t>
            </w:r>
          </w:p>
        </w:tc>
      </w:tr>
      <w:tr w14:paraId="75B7D918">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915">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8</w:t>
            </w:r>
          </w:p>
        </w:tc>
        <w:tc>
          <w:tcPr>
            <w:tcW w:w="2419" w:type="dxa"/>
            <w:tcBorders>
              <w:top w:val="nil"/>
              <w:left w:val="nil"/>
              <w:bottom w:val="single" w:color="auto" w:sz="4" w:space="0"/>
              <w:right w:val="single" w:color="auto" w:sz="4" w:space="0"/>
            </w:tcBorders>
            <w:shd w:val="clear" w:color="000000" w:fill="FFFFFF"/>
            <w:noWrap/>
            <w:vAlign w:val="center"/>
          </w:tcPr>
          <w:p w14:paraId="75B7D916">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云溪区</w:t>
            </w:r>
          </w:p>
        </w:tc>
        <w:tc>
          <w:tcPr>
            <w:tcW w:w="4929" w:type="dxa"/>
            <w:tcBorders>
              <w:top w:val="nil"/>
              <w:left w:val="nil"/>
              <w:bottom w:val="single" w:color="auto" w:sz="4" w:space="0"/>
              <w:right w:val="single" w:color="auto" w:sz="4" w:space="0"/>
            </w:tcBorders>
            <w:shd w:val="clear" w:color="000000" w:fill="FFFFFF"/>
            <w:vAlign w:val="center"/>
          </w:tcPr>
          <w:p w14:paraId="75B7D91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15</w:t>
            </w:r>
          </w:p>
        </w:tc>
      </w:tr>
      <w:tr w14:paraId="75B7D91B">
        <w:tblPrEx>
          <w:tblCellMar>
            <w:top w:w="0" w:type="dxa"/>
            <w:left w:w="108" w:type="dxa"/>
            <w:bottom w:w="0" w:type="dxa"/>
            <w:right w:w="108" w:type="dxa"/>
          </w:tblCellMar>
        </w:tblPrEx>
        <w:trPr>
          <w:jc w:val="center"/>
        </w:trPr>
        <w:tc>
          <w:tcPr>
            <w:tcW w:w="3704"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14:paraId="75B7D919">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kern w:val="2"/>
                <w:sz w:val="21"/>
                <w:szCs w:val="21"/>
                <w:lang w:val="en-US" w:bidi="ar-SA"/>
              </w:rPr>
              <w:t>合计</w:t>
            </w:r>
          </w:p>
        </w:tc>
        <w:tc>
          <w:tcPr>
            <w:tcW w:w="4929" w:type="dxa"/>
            <w:tcBorders>
              <w:top w:val="single" w:color="auto" w:sz="4" w:space="0"/>
              <w:left w:val="single" w:color="auto" w:sz="4" w:space="0"/>
              <w:bottom w:val="single" w:color="auto" w:sz="4" w:space="0"/>
              <w:right w:val="single" w:color="auto" w:sz="4" w:space="0"/>
            </w:tcBorders>
            <w:shd w:val="clear" w:color="000000" w:fill="FFFFFF"/>
            <w:vAlign w:val="center"/>
          </w:tcPr>
          <w:p w14:paraId="75B7D91A">
            <w:pPr>
              <w:autoSpaceDE/>
              <w:autoSpaceDN/>
              <w:snapToGrid w:val="0"/>
              <w:spacing w:line="240" w:lineRule="auto"/>
              <w:ind w:firstLine="0" w:firstLineChars="0"/>
              <w:jc w:val="center"/>
              <w:rPr>
                <w:rFonts w:ascii="仿宋_GB2312" w:hAnsi="Times New Roman" w:cs="Times New Roman"/>
                <w:b/>
                <w:kern w:val="2"/>
                <w:sz w:val="21"/>
                <w:szCs w:val="21"/>
                <w:lang w:val="en-US" w:bidi="ar-SA"/>
              </w:rPr>
            </w:pPr>
            <w:r>
              <w:rPr>
                <w:rFonts w:hint="eastAsia" w:ascii="仿宋_GB2312" w:hAnsi="Times New Roman" w:cs="Times New Roman"/>
                <w:kern w:val="2"/>
                <w:sz w:val="21"/>
                <w:szCs w:val="21"/>
                <w:lang w:val="en-US" w:bidi="ar-SA"/>
              </w:rPr>
              <w:t>268</w:t>
            </w:r>
          </w:p>
        </w:tc>
      </w:tr>
    </w:tbl>
    <w:p w14:paraId="75B7D91C">
      <w:pPr>
        <w:ind w:firstLine="480"/>
        <w:rPr>
          <w:rFonts w:hint="eastAsia"/>
        </w:rPr>
      </w:pPr>
    </w:p>
    <w:p w14:paraId="75B7D91F">
      <w:pPr>
        <w:spacing w:line="46" w:lineRule="exact"/>
        <w:ind w:firstLine="480"/>
        <w:rPr>
          <w:rFonts w:hint="eastAsia"/>
        </w:rPr>
      </w:pPr>
    </w:p>
    <w:p w14:paraId="75B7D920">
      <w:pPr>
        <w:pStyle w:val="4"/>
        <w:rPr>
          <w:rFonts w:hint="eastAsia"/>
          <w:lang w:val="en-US"/>
        </w:rPr>
      </w:pPr>
      <w:bookmarkStart w:id="49" w:name="_Toc23167"/>
      <w:r>
        <w:rPr>
          <w:rFonts w:hint="eastAsia"/>
          <w:lang w:val="en-US"/>
        </w:rPr>
        <w:t>业务现状分析</w:t>
      </w:r>
      <w:bookmarkEnd w:id="49"/>
    </w:p>
    <w:p w14:paraId="75B7D921">
      <w:pPr>
        <w:pStyle w:val="5"/>
        <w:rPr>
          <w:lang w:val="en-US"/>
        </w:rPr>
      </w:pPr>
      <w:r>
        <w:rPr>
          <w:rFonts w:hint="eastAsia"/>
          <w:lang w:val="en-US"/>
        </w:rPr>
        <w:t>预警监测现状</w:t>
      </w:r>
    </w:p>
    <w:p w14:paraId="75B7D922">
      <w:pPr>
        <w:pStyle w:val="6"/>
        <w:rPr>
          <w:rFonts w:hint="eastAsia"/>
        </w:rPr>
      </w:pPr>
      <w:r>
        <w:t>航空火情监测现状</w:t>
      </w:r>
    </w:p>
    <w:p w14:paraId="75B7D923">
      <w:pPr>
        <w:ind w:firstLine="480"/>
        <w:rPr>
          <w:rFonts w:hint="eastAsia"/>
        </w:rPr>
      </w:pPr>
      <w:r>
        <w:t>当前岳阳市全域航空监测处于空白状态，各区县及重点林区均未配置无人机及配套机场，空中火情监测能力完全缺失。平江县作为林地面积最大、地形以山地为主的区域，仅依靠地面人员巡护，受地形限制，偏远林区难以覆盖，火情发现滞后风险极高；临湘市与岳阳县的边界林区及湿地周边，因无空中监测手段，无法实现火情同步预警，一旦连绵山系发生火灾，难以及时掌握火势蔓延态势；汨罗市与岳阳市本级的平原林区及城市周边林地，对农事用火等人为火源的监控仅能依赖地面巡查，难以实现全天候、广范围实时监控，人为火源引发火灾的隐患无法有效降低；云溪区化工园区及芦头林场核心保护区，缺乏无人机空中重点防控，仅靠地面监控难以全面覆盖高风险区域，无法对突发火情进行快速定位与跟踪。整体来看，岳阳市航空火情监测体系尚未建立，亟需系统性配置不同类型无人机及配套机场，构建“空天地”一体化监测网络。</w:t>
      </w:r>
    </w:p>
    <w:p w14:paraId="75B7D924">
      <w:pPr>
        <w:pStyle w:val="6"/>
        <w:rPr>
          <w:rFonts w:hint="eastAsia"/>
        </w:rPr>
      </w:pPr>
      <w:r>
        <w:t>地面火情监测现状</w:t>
      </w:r>
    </w:p>
    <w:p w14:paraId="75B7D925">
      <w:pPr>
        <w:ind w:firstLine="480"/>
        <w:rPr>
          <w:rFonts w:hint="eastAsia"/>
        </w:rPr>
      </w:pPr>
      <w:r>
        <w:t>现有地面火情监测系统存在覆盖不全、智能化不足、流程闭环缺失三大核心问题。覆盖范围上，重点林区虽部署了基础监控设备，但地形复杂的偏远山区存在明显监测盲区，部分路段周边也因规划不足缺乏有效覆盖，且早期设备老化严重，分辨率、夜视效果难以满足现代化需求；智能化应用层面，设备在线率不稳定，多源数据融合程度低，AI烟火识别仅在少数试点区域应用，未形成规模化智能监测体系，同时存储容量不足、扩展性差，无法支撑长期趋势分析；预警处置流程上，从火情发现到处置存在环节断点，信息传递路径冗长，缺乏差异化预警推送机制，处置反馈未实时回传，跨部门协同不畅，标准化应急预案缺失，导致响应效率低下，错失最佳扑救时机。</w:t>
      </w:r>
    </w:p>
    <w:p w14:paraId="75B7D926">
      <w:pPr>
        <w:pStyle w:val="6"/>
        <w:rPr>
          <w:rFonts w:hint="eastAsia"/>
        </w:rPr>
      </w:pPr>
      <w:r>
        <w:t>监测调度现状</w:t>
      </w:r>
    </w:p>
    <w:p w14:paraId="75B7D927">
      <w:pPr>
        <w:ind w:firstLine="480"/>
        <w:rPr>
          <w:rFonts w:hint="eastAsia"/>
        </w:rPr>
      </w:pPr>
      <w:r>
        <w:t>现有监测调度体系存在“信息孤岛”与指挥效能偏低两大短板。数据层面，各部门系统独立运行，协议与接口不统一，数据标准缺失，导致视频监控、气象监测等多源数据难以共享，形成业务流程断层，且数据治理体系不完善，数据质量参差不齐，无法为决策提供可靠支撑；指挥层面，市级与县级调度中心联通不畅，一键调取监测点画面功能未完全实现，火情研判依赖人工操作，资源调度缺乏自动化工具，缺少可视化决策支持系统与历史案例库，导致指挥决策滞后、资源调度效率低下，无法满足突发火情的快速响应需求。</w:t>
      </w:r>
    </w:p>
    <w:p w14:paraId="75B7D928">
      <w:pPr>
        <w:pStyle w:val="5"/>
        <w:rPr>
          <w:lang w:val="en-US"/>
        </w:rPr>
      </w:pPr>
      <w:r>
        <w:rPr>
          <w:rFonts w:hint="eastAsia"/>
          <w:lang w:val="en-US"/>
        </w:rPr>
        <w:t>森林防火通信现状</w:t>
      </w:r>
    </w:p>
    <w:p w14:paraId="75B7D929">
      <w:pPr>
        <w:pStyle w:val="6"/>
        <w:rPr>
          <w:rFonts w:hint="eastAsia"/>
        </w:rPr>
      </w:pPr>
      <w:r>
        <w:t>通信链路情况</w:t>
      </w:r>
    </w:p>
    <w:p w14:paraId="75B7D92A">
      <w:pPr>
        <w:ind w:firstLine="480"/>
        <w:rPr>
          <w:rFonts w:hint="eastAsia"/>
        </w:rPr>
      </w:pPr>
      <w:r>
        <w:t>现有森林防火通信高度依赖公网，存在可靠性不足、冗余缺失、装备配置薄弱三大问题。公网在林区地形复杂区域覆盖薄弱，极端天气下易中断，导致视频监控、无人机回传等关键信息无法传输，且公网环境存在数据安全风险，故障恢复时间不可控；通信链路设计缺乏冗余备份，仅依赖单一4G/5G网络，未整合数字超短波、卫星等多元通信手段，无自动切换机制；应急通信装备配置不足，固定基站覆盖范围有限，便携式设备数量难以应对多点火情，软件功能单一，设备维护不规范，进一步降低了系统可靠性，一旦通信中断，将直接导致指挥失灵、救援协同效率下降。</w:t>
      </w:r>
    </w:p>
    <w:p w14:paraId="75B7D92B">
      <w:pPr>
        <w:pStyle w:val="6"/>
        <w:rPr>
          <w:rFonts w:hint="eastAsia"/>
        </w:rPr>
      </w:pPr>
      <w:r>
        <w:t>抗灾能力评估</w:t>
      </w:r>
    </w:p>
    <w:p w14:paraId="75B7D92C">
      <w:pPr>
        <w:ind w:firstLine="480"/>
        <w:rPr>
          <w:rFonts w:hint="eastAsia"/>
        </w:rPr>
      </w:pPr>
      <w:r>
        <w:t>现有通信系统受地形与自身体系限制，抗灾能力严重不足。地形层面，岳阳市山地、丘陵交错分布，高山与茂密植被阻挡信号传播，山谷地形易产生信号干扰，极端天气加剧影响，现有站点布局未充分考虑地形因素，覆盖效果不佳；系统层面，应急预案不完善，缺乏专项预案与年度演练，故障分级响应机制缺失，日常巡检依赖人工，无自动化运维监控平台，应急物资储备不足、调配机制不灵活，跨部门联动不畅；恢复能力层面，故障定位依赖人工，备件储备不足，抢修队伍专业素质有待提升，缺乏网络自愈机制，设备抗灾能力弱，导致故障后恢复速度慢，难以满足应急通信高标准要求。</w:t>
      </w:r>
    </w:p>
    <w:p w14:paraId="75B7D92D">
      <w:pPr>
        <w:pStyle w:val="6"/>
        <w:rPr>
          <w:rFonts w:hint="eastAsia"/>
        </w:rPr>
      </w:pPr>
      <w:r>
        <w:t>通信系统对指挥调度的影响</w:t>
      </w:r>
    </w:p>
    <w:p w14:paraId="75B7D92E">
      <w:pPr>
        <w:ind w:firstLine="480"/>
        <w:rPr>
          <w:rFonts w:hint="eastAsia"/>
          <w:lang w:val="en-US"/>
        </w:rPr>
      </w:pPr>
      <w:r>
        <w:t>现有通信直接制约指挥调度效能，主要体现在四大环节：指令传达上，层级多、速度慢，依赖人工转达易出现偏差，缺乏统一平台，紧急情况下信道拥堵导致指令发送失败；信息反馈上，一线上报依赖口头或简单文字描述，缺乏多媒体数据支持，上传渠道不畅、内容不规范，无效信息干扰指挥；协同救援上，部门壁垒明显，信息共享不足，联合指挥平台滞后，协同预案缺失，常态化演练不足，难以形成合力；决策支撑上，缺乏数据化分析工具，无历史案例库与模拟推演功能，智能化水平低，决策依赖经验判断，准确性与前瞻性不足。</w:t>
      </w:r>
    </w:p>
    <w:p w14:paraId="75B7D92F">
      <w:pPr>
        <w:pStyle w:val="5"/>
        <w:rPr>
          <w:lang w:val="en-US"/>
        </w:rPr>
      </w:pPr>
      <w:r>
        <w:rPr>
          <w:rFonts w:hint="eastAsia"/>
          <w:lang w:val="en-US"/>
        </w:rPr>
        <w:t>森林消防队伍能力现状</w:t>
      </w:r>
    </w:p>
    <w:p w14:paraId="75B7D930">
      <w:pPr>
        <w:pStyle w:val="6"/>
        <w:rPr>
          <w:rFonts w:hint="eastAsia"/>
        </w:rPr>
      </w:pPr>
      <w:r>
        <w:t>人员专业素质</w:t>
      </w:r>
    </w:p>
    <w:p w14:paraId="75B7D931">
      <w:pPr>
        <w:ind w:firstLine="480"/>
        <w:rPr>
          <w:rFonts w:hint="eastAsia"/>
        </w:rPr>
      </w:pPr>
      <w:r>
        <w:t>现有森林消防队伍专业能力存在体系化短板。培训体系不完善，内容偏重理论、实操比例低，频次不足，师资力量薄弱，考核机制不健全，难以提升实战技能；经验转化不足，实战经验未系统总结推广，跨区域交流缺失，缺乏专家智库支持，无法形成标准化操作流程；应急处置能力弱，快速反应机制不健全，战术运用单一，装备操作不熟练，心理素质训练不足，难以应对复杂火场形势；团队协作不足，分工不明确、沟通不畅，缺乏信任基础与团队意识，影响整体作战效能。</w:t>
      </w:r>
    </w:p>
    <w:p w14:paraId="75B7D932">
      <w:pPr>
        <w:pStyle w:val="6"/>
        <w:rPr>
          <w:rFonts w:hint="eastAsia"/>
        </w:rPr>
      </w:pPr>
      <w:r>
        <w:t xml:space="preserve"> 装备配备情况</w:t>
      </w:r>
    </w:p>
    <w:p w14:paraId="75B7D933">
      <w:pPr>
        <w:ind w:firstLine="480"/>
        <w:rPr>
          <w:rFonts w:hint="eastAsia"/>
          <w:lang w:val="en-US"/>
        </w:rPr>
      </w:pPr>
      <w:r>
        <w:t>现有装备以传统灭火机具、防护装备为主，侦查监测类装备严重缺失，无法实现火情的早期发现与精准定位。</w:t>
      </w:r>
      <w:r>
        <w:rPr>
          <w:rFonts w:hint="eastAsia"/>
          <w:lang w:val="en-US"/>
        </w:rPr>
        <w:t>同时，</w:t>
      </w:r>
      <w:r>
        <w:t>侦查监测类装备</w:t>
      </w:r>
      <w:r>
        <w:rPr>
          <w:rFonts w:hint="eastAsia"/>
          <w:lang w:val="en-US"/>
        </w:rPr>
        <w:t>需集实现集</w:t>
      </w:r>
      <w:r>
        <w:t>高清视频监控、AI烟火识别、语音预警等智能化</w:t>
      </w:r>
      <w:r>
        <w:rPr>
          <w:rFonts w:hint="eastAsia"/>
          <w:lang w:val="en-US"/>
        </w:rPr>
        <w:t>智能化设备</w:t>
      </w:r>
      <w:r>
        <w:t>，替代传统人工巡护方式，在地形复杂的偏远山区实现全天候监测，解决老旧通信设备信息传递滞后的问题；针对装备种类不全，</w:t>
      </w:r>
      <w:r>
        <w:rPr>
          <w:rFonts w:hint="eastAsia"/>
          <w:lang w:val="en-US"/>
        </w:rPr>
        <w:t>建设</w:t>
      </w:r>
      <w:r>
        <w:t>侦查监测类</w:t>
      </w:r>
      <w:r>
        <w:rPr>
          <w:rFonts w:hint="eastAsia"/>
          <w:lang w:val="en-US"/>
        </w:rPr>
        <w:t>智能</w:t>
      </w:r>
      <w:r>
        <w:t>装备</w:t>
      </w:r>
      <w:r>
        <w:rPr>
          <w:rFonts w:hint="eastAsia"/>
          <w:lang w:val="en-US"/>
        </w:rPr>
        <w:t xml:space="preserve"> </w:t>
      </w:r>
      <w:r>
        <w:t>，能填补特种灭火、应急抢修等设备的功能空白，通过远程喊话实时制止违规用火，结合“空天地”一体化监测体系，满足多样化火情防控需求</w:t>
      </w:r>
      <w:r>
        <w:rPr>
          <w:rFonts w:hint="eastAsia"/>
        </w:rPr>
        <w:t>。</w:t>
      </w:r>
    </w:p>
    <w:p w14:paraId="75B7D934">
      <w:pPr>
        <w:pStyle w:val="6"/>
        <w:rPr>
          <w:rFonts w:hint="eastAsia"/>
        </w:rPr>
      </w:pPr>
      <w:r>
        <w:t xml:space="preserve"> 响应效率评估</w:t>
      </w:r>
    </w:p>
    <w:p w14:paraId="75B7D935">
      <w:pPr>
        <w:ind w:firstLine="480"/>
        <w:rPr>
          <w:rFonts w:hint="eastAsia"/>
        </w:rPr>
      </w:pPr>
      <w:r>
        <w:t>现有森林消防响应机制存在多环节滞后问题。报警响应上，信息传递链条长，人工接警环节繁琐，报警渠道单一，导致接警时间超出规定时限；现场到达上，受偏远林区路况限制，交通工具配置不足，路线规划不合理，集结准备时间长，导致到达现场时间延迟；救援准备上，人员集结慢，装备检查程序繁琐，物资清点不细致，预案熟悉度不够，进一步延误处置时机；响应机制上，分级标准模糊，联动机制不畅，信息通报不及时，缺乏动态调整机制，导致资源配置不合理、处置策略滞后，制约整体应急效能。</w:t>
      </w:r>
    </w:p>
    <w:p w14:paraId="75B7D936">
      <w:pPr>
        <w:pStyle w:val="4"/>
        <w:rPr>
          <w:rFonts w:hint="eastAsia"/>
          <w:lang w:val="en-US"/>
        </w:rPr>
      </w:pPr>
      <w:bookmarkStart w:id="50" w:name="_Toc6989"/>
      <w:bookmarkStart w:id="51" w:name="_Toc19130"/>
      <w:r>
        <w:rPr>
          <w:rFonts w:hint="eastAsia"/>
          <w:lang w:val="en-US"/>
        </w:rPr>
        <w:t>具体问题和差距</w:t>
      </w:r>
      <w:bookmarkEnd w:id="50"/>
      <w:bookmarkEnd w:id="51"/>
    </w:p>
    <w:p w14:paraId="75B7D937">
      <w:pPr>
        <w:pStyle w:val="5"/>
        <w:rPr>
          <w:lang w:val="en-US"/>
        </w:rPr>
      </w:pPr>
      <w:r>
        <w:rPr>
          <w:rFonts w:hint="eastAsia"/>
          <w:lang w:val="en-US"/>
        </w:rPr>
        <w:t>预警监测问题</w:t>
      </w:r>
    </w:p>
    <w:p w14:paraId="75B7D938">
      <w:pPr>
        <w:pStyle w:val="6"/>
        <w:rPr>
          <w:rFonts w:hint="eastAsia"/>
        </w:rPr>
      </w:pPr>
      <w:r>
        <w:t>监测范围局限</w:t>
      </w:r>
    </w:p>
    <w:p w14:paraId="75B7D939">
      <w:pPr>
        <w:ind w:firstLine="480"/>
        <w:rPr>
          <w:rFonts w:hint="eastAsia"/>
        </w:rPr>
      </w:pPr>
      <w:r>
        <w:t>岳阳市森林火灾高风险区现有地面监测网络存在显著覆盖缺口，难以满足全天候、全方位火情早期发现需求。核心问题在于前端感知设备部署密度与林区实际地形复杂度不匹配，导致部分重点林区及复杂地形区域存在监控盲区。</w:t>
      </w:r>
    </w:p>
    <w:p w14:paraId="75B7D93A">
      <w:pPr>
        <w:ind w:firstLine="480"/>
        <w:rPr>
          <w:rFonts w:hint="eastAsia"/>
        </w:rPr>
      </w:pPr>
      <w:r>
        <w:t>①一体化云台摄像机配置数量不足，无法实现对关键防火区域的无死角覆盖，特别是在植被茂密或地形起伏较大的地段，现有设备视野受限严重。</w:t>
      </w:r>
    </w:p>
    <w:p w14:paraId="75B7D93B">
      <w:pPr>
        <w:ind w:firstLine="480"/>
        <w:rPr>
          <w:rFonts w:hint="eastAsia"/>
        </w:rPr>
      </w:pPr>
      <w:r>
        <w:t>②林火视频监控系统前端建设滞后，缺乏必要的冗余备份机制，单点故障可能导致局部监测失效，影响整体预警系统的可靠性。</w:t>
      </w:r>
    </w:p>
    <w:p w14:paraId="75B7D93C">
      <w:pPr>
        <w:ind w:firstLine="480"/>
        <w:rPr>
          <w:rFonts w:hint="eastAsia"/>
        </w:rPr>
      </w:pPr>
      <w:r>
        <w:t>③高位监控资源共享利用率低，存量共享高位监控点位分布不均，未能有效形成对新建监测点的互补支撑，导致部分区域监测能力薄弱。</w:t>
      </w:r>
    </w:p>
    <w:p w14:paraId="75B7D93D">
      <w:pPr>
        <w:ind w:firstLine="480"/>
        <w:rPr>
          <w:rFonts w:hint="eastAsia"/>
        </w:rPr>
      </w:pPr>
      <w:r>
        <w:t>现有巡护人员手持终端配置数量不足，且功能单一，难以支撑大规模林区常态化巡护作业的高效开展。北斗手持巡护终端的普及率有待提升，部分偏远林区护林员仍依赖传统通讯手段，导致巡护轨迹无法实时回传，火情上报存在延迟。终端设备的续航能力与防护等级在极端天气下表现不稳定，影响野外作业的连续性。终端与指挥中心的交互接口不够完善，数据回传频率低，无法为指挥决策提供实时的动态信息支撑，削弱了“人防”在“技防”体系中的基础作用。</w:t>
      </w:r>
    </w:p>
    <w:p w14:paraId="75B7D93E">
      <w:pPr>
        <w:ind w:firstLine="480"/>
        <w:rPr>
          <w:rFonts w:hint="eastAsia"/>
        </w:rPr>
      </w:pPr>
      <w:r>
        <w:t>受岳阳市山区地形地貌限制，现有监测体系在部分区域仍存在明显的信号覆盖盲区与视觉死角，导致火情隐患难以被第一时间识别。无人机巡护航线规划若未充分结合地形特征，导致特定山谷或密林深处成为监测真空地带，无法形成有效的立体防控网。视频监控探头安装角度与高度的不合理，使得部分区域无法捕捉到初期烟雾或明火，增加了火情扩散的风险。通信基站覆盖范围有限，导致部分盲区内的数据传输中断，进一步加剧了监测信息的缺失，必须通过优化设备布局与增强通信链路来填补这些关键空白。</w:t>
      </w:r>
    </w:p>
    <w:p w14:paraId="75B7D93F">
      <w:pPr>
        <w:pStyle w:val="6"/>
        <w:rPr>
          <w:rFonts w:hint="eastAsia"/>
        </w:rPr>
      </w:pPr>
      <w:r>
        <w:t>数据处理滞后</w:t>
      </w:r>
    </w:p>
    <w:p w14:paraId="75B7D940">
      <w:pPr>
        <w:ind w:firstLine="480"/>
        <w:rPr>
          <w:rFonts w:hint="eastAsia"/>
        </w:rPr>
      </w:pPr>
      <w:r>
        <w:t>当前林区前端采集设备普遍面临算力不足的困境，大部分监控摄像机仅具备基础的视频录制功能，内置芯片性能有限，无法承载复杂的AI分析任务。这直接导致海量实时监测数据只能以原始视频或图片形式存储，无法在前端完成烟火识别、行为分析等智能处理，所有数据都需回传至后端平台，不仅占用了大量带宽资源，还造成数据处理延迟。同时，AI识别算法在火情监测领域的应用仍处于初级阶段，现有算法多基于通用场景开发，未针对林区复杂环境（如强光、浓雾、枝叶晃动）进行优化，导致误报率长期居高不下——例如将阳光反射、炊烟等误判为火情，而真正的早期小火苗却因对比度低、面积小被漏判。这种“虚警多、真警漏”的现状，让一线工作人员疲于应对无效预警，反而忽视了真实火情，严重削弱了监测系统的实战价值。</w:t>
      </w:r>
    </w:p>
    <w:p w14:paraId="75B7D941">
      <w:pPr>
        <w:ind w:firstLine="480"/>
        <w:rPr>
          <w:rFonts w:hint="eastAsia"/>
        </w:rPr>
      </w:pPr>
      <w:r>
        <w:t>后端研判系统的处理能力滞后，成为大数据价值释放的核心障碍。当前森林</w:t>
      </w:r>
      <w:r>
        <w:rPr>
          <w:rFonts w:hint="eastAsia"/>
          <w:lang w:val="en-US"/>
        </w:rPr>
        <w:t>指挥中心</w:t>
      </w:r>
      <w:r>
        <w:t>平台仅能实现单一数据的简单展示，无法对视频监控、气象数据、巡护记录等多源异构数据进行关联分析，例如无法结合实时风速、湿度判断火势蔓延趋势，也无法通过历史火情数据预测高风险区域。这种“数据孤岛”现象，让海量监测数据难以转化为精准的预警信息与决策依据。同时，系统响应链条过长也是突出问题：从前端设备采集数据，到网络传输、后端存储、算法分析、预警生成，再到指令下达至一线人员，整个流程往往需要数分钟甚至更久。而森林火灾的初期蔓延速度极快，尤其是在大风天气下，短短几分钟就可能从小火发展为失控火情，系统延迟直接导致错失最佳扑救窗口，让前期的监测投入难以发挥应有的应急效能。</w:t>
      </w:r>
    </w:p>
    <w:p w14:paraId="75B7D942">
      <w:pPr>
        <w:pStyle w:val="6"/>
        <w:rPr>
          <w:rFonts w:hint="eastAsia"/>
        </w:rPr>
      </w:pPr>
      <w:r>
        <w:t>系统集成度低</w:t>
      </w:r>
    </w:p>
    <w:p w14:paraId="75B7D943">
      <w:pPr>
        <w:ind w:firstLine="480"/>
        <w:rPr>
          <w:rFonts w:hint="eastAsia"/>
        </w:rPr>
      </w:pPr>
      <w:r>
        <w:t>现有各业务系统独立运行，缺乏统一的数据交换标准与接口规范，导致信息孤岛现象显著，严重阻碍了跨部门协同作战能力的提升。视频监控、气象监测、资源管理等系统协议差异较大，整合难度高，数据格式不兼容导致信息流转受阻。不同厂商提供的软硬件平台之间缺乏标准化对接机制，增加了系统集成成本与维护难度。接口文档缺失或不完整，使得后续系统扩容与功能升级面临技术壁垒，难以实现真正的互联互通与数据共享，制约了整体信息化水平的发挥。</w:t>
      </w:r>
    </w:p>
    <w:p w14:paraId="75B7D944">
      <w:pPr>
        <w:ind w:firstLine="480"/>
        <w:rPr>
          <w:rFonts w:hint="eastAsia"/>
        </w:rPr>
      </w:pPr>
      <w:r>
        <w:t>火情处置涉及多部门协作，但目前缺乏统一的调度平台与标准化的工作流引擎，导致业务流程在不同环节出现断层与脱节。从火情发现、核实、报警到调度处置、反馈评估，各环节信息传递不畅，人工干预过多，降低了处置效率。跨部门协同机制不完善，职责边界模糊，容易出现推诿扯皮现象，影响应急响应速度。业务流程缺乏灵活性，难以应对复杂多变的火场实际情况，无法实现任务的下达、执行、反馈与闭环的自动化管理，亟需构建可灵活配置的在线协同工作流以打通全链条。</w:t>
      </w:r>
    </w:p>
    <w:p w14:paraId="75B7D945">
      <w:pPr>
        <w:ind w:firstLine="480"/>
        <w:rPr>
          <w:rFonts w:hint="eastAsia"/>
        </w:rPr>
      </w:pPr>
      <w:r>
        <w:t>各部门间数据共享机制不畅，信息壁垒森严，导致指挥决策缺乏全面准确的数据支撑。现有系统间数据标准不统一，清洗与转换成本高，难以实现实时共享与动态更新。缺乏统一的数据中心或共享平台，使得珍贵的一线监测数据无法及时汇聚至指挥中心，造成信息滞后。数据权限管理混乱，敏感信息共享困难，既影响协同效率又存在安全隐患。打破数据壁垒，建立高效安全的数据共享机制，是实现森林火灾综合治理能力提升的关键所在。</w:t>
      </w:r>
    </w:p>
    <w:p w14:paraId="75B7D946">
      <w:pPr>
        <w:ind w:firstLine="480"/>
        <w:rPr>
          <w:rFonts w:hint="eastAsia"/>
        </w:rPr>
      </w:pPr>
      <w:r>
        <w:t>由于系统整合度低与数据共享不畅，市级与县级指挥层在面对火情时难以实现高效协同，指挥决策碎片化问题突出。无法一键调取项目区任意监测点画面与无人机实时回传影像，导致指挥层对火灾现状、动态及发展趋势掌握不及时。跨部门、跨层级的指令传达与反馈机制不畅，影响了对区县应急处置的辅助决策效率。缺乏统一的可视化指挥平台，无法实现资源、告警、态势等信息的集中直观展示，削弱了“一屏总览”的实战指挥能力，制约了整体防控体系的协同效应。</w:t>
      </w:r>
    </w:p>
    <w:p w14:paraId="75B7D947">
      <w:pPr>
        <w:pStyle w:val="5"/>
        <w:rPr>
          <w:lang w:val="en-US"/>
        </w:rPr>
      </w:pPr>
      <w:r>
        <w:rPr>
          <w:rFonts w:hint="eastAsia"/>
          <w:lang w:val="en-US"/>
        </w:rPr>
        <w:t>森林防火通信问题</w:t>
      </w:r>
    </w:p>
    <w:p w14:paraId="75B7D948">
      <w:pPr>
        <w:pStyle w:val="6"/>
        <w:rPr>
          <w:rFonts w:hint="eastAsia"/>
        </w:rPr>
      </w:pPr>
      <w:r>
        <w:t>通信链路单一</w:t>
      </w:r>
    </w:p>
    <w:p w14:paraId="75B7D949">
      <w:pPr>
        <w:ind w:firstLine="480"/>
        <w:rPr>
          <w:rFonts w:hint="eastAsia"/>
        </w:rPr>
      </w:pPr>
      <w:r>
        <w:t>现有通信系统高度依赖公网（4G/5G），在“三断”（断网、断电、断路）情境下极易发生通信中断，严重影响指挥调度与现场协同作业。公网信号覆盖受地形与天气影响大，在岳阳市部分深山林区存在信号弱或无信号区域，导致应急通信保障能力薄弱。一旦公网瘫痪，现场采集数据无法回传，指挥指令无法下达，直接导致救援行动陷入被动。过度依赖单一通信链路缺乏必要的冗余备份，使得整个通信系统在极端灾害面前显得脆弱不堪，必须构建多元化的应急通信体系以确保持续连通。</w:t>
      </w:r>
    </w:p>
    <w:p w14:paraId="75B7D94A">
      <w:pPr>
        <w:ind w:firstLine="480"/>
        <w:rPr>
          <w:rFonts w:hint="eastAsia"/>
        </w:rPr>
      </w:pPr>
      <w:r>
        <w:t>通信链路单一，主要依赖4G/5G网络，缺乏卫星、超短波等其他通信手段作为冗余备份，抗风险能力极差。当主用通信链路因自然灾害或人为破坏中断时，缺乏备用路由进行切换，导致通信彻底失联。未建立多路由聚合传输机制，无法在一条链路故障时自动启用其他可用链路，保障了业务的连续性。这种单点故障风险在森林火灾等紧急情况下可能被无限放大，造成指挥失灵与救援延误，亟需通过建设融合多元通信手段的机动通信系统来消除这一隐患。</w:t>
      </w:r>
    </w:p>
    <w:p w14:paraId="75B7D94B">
      <w:pPr>
        <w:ind w:firstLine="480"/>
        <w:rPr>
          <w:rFonts w:hint="eastAsia"/>
        </w:rPr>
      </w:pPr>
      <w:r>
        <w:t>遭遇地震、洪涝等极端自然灾害导致“三断”发生时，现有通信基础设施无法维持基本运转，对森林火灾应急处置构成致命威胁。断网、断电、断路环境下，常规通信设备完全失效，现场人员与指挥中心失去联系，无法开展有效的火情报告与资源调度。缺乏具备自组网、长续航、抗强干扰特性的应急通信装备，使得在极端条件下通信保障能力几乎为零。必须提前部署具备独立生存能力的机动通信系统，确保在任何极端环境下都能打通信息传递的“最后一公里”。</w:t>
      </w:r>
    </w:p>
    <w:p w14:paraId="75B7D94C">
      <w:pPr>
        <w:pStyle w:val="6"/>
        <w:rPr>
          <w:rFonts w:hint="eastAsia"/>
        </w:rPr>
      </w:pPr>
      <w:r>
        <w:t>抗灾能力有限</w:t>
      </w:r>
    </w:p>
    <w:p w14:paraId="75B7D94D">
      <w:pPr>
        <w:ind w:firstLine="480"/>
        <w:rPr>
          <w:rFonts w:hint="eastAsia"/>
        </w:rPr>
      </w:pPr>
      <w:r>
        <w:t>岳阳市地形复杂，山区沟壑纵横，对无线电信号传播造成严重遮挡与衰减，导致部分林区通信信号覆盖不均甚至完全缺失。高大山体阻挡了基站信号的直射路径，使得山谷底部与背阴面成为通信盲区，严重影响无人机图传与手持终端的信号稳定性。地形起伏导致的信号多径效应增加了通信干扰，降低了数据传输的可靠性与速率。现有通信基站布局未能充分考虑地形因素，导致信号覆盖呈现碎片化特征，难以形成连续的通信保障网络，制约了信息化手段在复杂地形的应用效果。</w:t>
      </w:r>
    </w:p>
    <w:p w14:paraId="75B7D94E">
      <w:pPr>
        <w:ind w:firstLine="480"/>
        <w:rPr>
          <w:rFonts w:hint="eastAsia"/>
        </w:rPr>
      </w:pPr>
      <w:r>
        <w:t>面对突发火情与极端环境，现有应急通信设备配置数量不足，种类单一，难以满足大规模救援行动的通信保障需求。应急通信箱、车载台等设备配备率低，无法实现快速展开与机动部署。设备老化严重，性能下降，在关键时刻可能出现故障，直接影响救援指挥的连贯性与有效性，必须加大投入补齐应急通信装备短板。</w:t>
      </w:r>
    </w:p>
    <w:p w14:paraId="75B7D94F">
      <w:pPr>
        <w:ind w:firstLine="480"/>
        <w:rPr>
          <w:rFonts w:hint="eastAsia"/>
        </w:rPr>
      </w:pPr>
      <w:r>
        <w:t>现有通信网络在长时间运行过程中稳定性较差，频繁出现信号波动、掉线或延迟高等问题，影响火情信息的实时传输与指挥指令的准确下达。网络拥塞现象频发，特别是在多路视频并发回传时，带宽资源分配不均导致关键业务数据丢包。缺乏有效的网络质量监测与自动修复机制，故障发现与恢复滞后，无法保障通信链路的持续可靠。通信设备固件版本老旧，存在已知安全漏洞与性能缺陷，进一步降低了系统的整体稳定性，亟需进行网络优化与设备升级。</w:t>
      </w:r>
    </w:p>
    <w:p w14:paraId="75B7D950">
      <w:pPr>
        <w:pStyle w:val="6"/>
        <w:rPr>
          <w:rFonts w:hint="eastAsia"/>
        </w:rPr>
      </w:pPr>
      <w:r>
        <w:t>通信设备老化</w:t>
      </w:r>
    </w:p>
    <w:p w14:paraId="75B7D951">
      <w:pPr>
        <w:ind w:firstLine="480"/>
        <w:rPr>
          <w:rFonts w:hint="eastAsia"/>
        </w:rPr>
      </w:pPr>
      <w:r>
        <w:t>部分通信与监测设备因长期户外运行，受自然环境侵蚀影响，性能出现明显下降，无法满足当前高标准的技术要求。天线腐蚀、镜头污损、传感器灵敏度降低等问题频发，导致数据采集质量下降与通信距离缩短。设备老化导致功耗增加，电池续航时间大幅缩减，增加了运维负担与更换频率。</w:t>
      </w:r>
    </w:p>
    <w:p w14:paraId="75B7D952">
      <w:pPr>
        <w:ind w:firstLine="480"/>
        <w:rPr>
          <w:rFonts w:hint="eastAsia"/>
        </w:rPr>
      </w:pPr>
      <w:r>
        <w:t>随着设备老化程度加剧，故障率上升，导致日常维护与抢修成本大幅增加，给项目运营带来沉重经济负担。频繁的设备维修不仅消耗大量人力物力，还延长了系统停机时间，影响正常业务开展。备件库存管理难度大，部分老旧型号设备配件停产，导致维修周期拉长甚至无法修复。运维团队技术能力与现有设备不匹配，故障排查效率低下，进一步推高了综合运维成本。必须从源头控制设备选型质量，并建立科学的预防性维护体系以降低长期运营成本。</w:t>
      </w:r>
    </w:p>
    <w:p w14:paraId="75B7D953">
      <w:pPr>
        <w:ind w:firstLine="480"/>
        <w:rPr>
          <w:rFonts w:hint="eastAsia"/>
        </w:rPr>
      </w:pPr>
      <w:r>
        <w:t>设备性能下降与维护不及时直接导致通信效果大打折扣，语音通话不清、视频传输卡顿、数据上传失败等现象时有发生。在紧急火情处置中，通信质量的恶化可能导致关键信息遗漏或误解，引发严重的指挥失误。信号覆盖范围的缩减使得部分区域成为通信死角，一线人员无法与指挥中心保持联络，形成信息孤岛。通信稳定性的缺失降低了用户对信息化系统的信任度，影响了推广应用的积极性，必须采取有效措施改善通信环境，提升整体通信质量。</w:t>
      </w:r>
    </w:p>
    <w:p w14:paraId="75B7D954">
      <w:pPr>
        <w:ind w:firstLine="480"/>
        <w:rPr>
          <w:rFonts w:hint="eastAsia"/>
        </w:rPr>
      </w:pPr>
      <w:r>
        <w:t>老化设备与不完善的通信网络存在诸多安全隐患，可能引发数据泄露、设备失控甚至火灾等次生灾害。部分设备缺乏安全防护机制，易受黑客攻击或恶意篡改，导致系统被非法入侵或控制。通信线路裸露或绝缘层破损，存在漏电或短路起火风险，特别是在干燥林区极易引发新的火情。设备故障引发的误报或漏报，可能导致不必要的资源浪费或错失最佳扑救时机，对人民生命财产安全构成威胁，必须加强设备全生命周期安全管理。</w:t>
      </w:r>
    </w:p>
    <w:p w14:paraId="75B7D955">
      <w:pPr>
        <w:pStyle w:val="5"/>
        <w:rPr>
          <w:lang w:val="en-US"/>
        </w:rPr>
      </w:pPr>
      <w:r>
        <w:rPr>
          <w:rFonts w:hint="eastAsia"/>
          <w:lang w:val="en-US"/>
        </w:rPr>
        <w:t>森林消防队伍能力问题</w:t>
      </w:r>
    </w:p>
    <w:p w14:paraId="75B7D956">
      <w:pPr>
        <w:pStyle w:val="6"/>
        <w:rPr>
          <w:rFonts w:hint="eastAsia"/>
        </w:rPr>
      </w:pPr>
      <w:r>
        <w:t>装备配备不足</w:t>
      </w:r>
    </w:p>
    <w:p w14:paraId="75B7D957">
      <w:pPr>
        <w:ind w:firstLine="480"/>
        <w:rPr>
          <w:rFonts w:hint="eastAsia"/>
        </w:rPr>
      </w:pPr>
      <w:r>
        <w:t>现有森林消防装备普遍存在老化现象，使用年限较长，技术性能落后，难以适应现代森林火灾扑救的高标准要求。</w:t>
      </w:r>
    </w:p>
    <w:p w14:paraId="75B7D958">
      <w:pPr>
        <w:ind w:firstLine="480"/>
        <w:rPr>
          <w:rFonts w:hint="eastAsia"/>
        </w:rPr>
      </w:pPr>
      <w:r>
        <w:t>在</w:t>
      </w:r>
      <w:r>
        <w:rPr>
          <w:rFonts w:hint="eastAsia"/>
        </w:rPr>
        <w:t>设备配置方面</w:t>
      </w:r>
      <w:r>
        <w:t>，</w:t>
      </w:r>
      <w:r>
        <w:rPr>
          <w:rFonts w:hint="eastAsia"/>
        </w:rPr>
        <w:t>缺少智能</w:t>
      </w:r>
      <w:r>
        <w:t>侦查监测类设备</w:t>
      </w:r>
      <w:r>
        <w:rPr>
          <w:rFonts w:hint="eastAsia"/>
        </w:rPr>
        <w:t>，</w:t>
      </w:r>
      <w:r>
        <w:t>集成的4G/5G通信模块可作为应急通信的补充节点，弥补应急通信箱、车载台等设备数量不足的缺陷。尤其在林区“三断”（断电、断网、断路）极端场景下，</w:t>
      </w:r>
      <w:r>
        <w:rPr>
          <w:rFonts w:hint="eastAsia"/>
        </w:rPr>
        <w:t>智能</w:t>
      </w:r>
      <w:r>
        <w:t>侦查监测类设备</w:t>
      </w:r>
      <w:r>
        <w:rPr>
          <w:rFonts w:hint="eastAsia"/>
        </w:rPr>
        <w:t>在</w:t>
      </w:r>
      <w:r>
        <w:t>保障设备持续运行</w:t>
      </w:r>
      <w:r>
        <w:rPr>
          <w:rFonts w:hint="eastAsia"/>
        </w:rPr>
        <w:t>同时</w:t>
      </w:r>
      <w:r>
        <w:t>，内置的语音对讲功能支持一线人员与指挥中心的实时通话，解决传统通信设备依赖公网、机动性差的问题。通过部署</w:t>
      </w:r>
      <w:r>
        <w:rPr>
          <w:rFonts w:hint="eastAsia"/>
        </w:rPr>
        <w:t>智能</w:t>
      </w:r>
      <w:r>
        <w:t>侦查监测类设备，可在重点林区、偏远山区形成网格化通信覆盖，即使个别节点故障，也能通过邻接设备中继传输，确保指挥指令“下得去、传得回”。</w:t>
      </w:r>
    </w:p>
    <w:p w14:paraId="75B7D959">
      <w:pPr>
        <w:pStyle w:val="35"/>
        <w:widowControl/>
        <w:shd w:val="clear" w:color="auto" w:fill="FFFFFF"/>
        <w:wordWrap w:val="0"/>
        <w:spacing w:before="0" w:beforeAutospacing="0" w:after="120" w:afterAutospacing="0"/>
        <w:ind w:firstLine="480"/>
        <w:rPr>
          <w:rFonts w:hint="eastAsia"/>
        </w:rPr>
      </w:pPr>
      <w:r>
        <w:t>在功能协同层面，</w:t>
      </w:r>
      <w:r>
        <w:rPr>
          <w:rFonts w:hint="eastAsia"/>
        </w:rPr>
        <w:t>智能</w:t>
      </w:r>
      <w:r>
        <w:t>侦查监测类设备与现有应急通信装备的联动可进一步提升实战效能。一方面，</w:t>
      </w:r>
      <w:r>
        <w:rPr>
          <w:rFonts w:hint="eastAsia"/>
        </w:rPr>
        <w:t>智能</w:t>
      </w:r>
      <w:r>
        <w:t>侦查监测类设备的高清视频监控可作为单兵图传的补充，为指挥中心提供更广阔的火场视野，结合AI烟火识别算法，可实现火情的自动上报与定位，减少人工巡查的盲区与延误；另一方面，</w:t>
      </w:r>
      <w:r>
        <w:rPr>
          <w:rFonts w:hint="eastAsia"/>
        </w:rPr>
        <w:t>智能</w:t>
      </w:r>
      <w:r>
        <w:t>侦查监测类设备的远程喊话功能可直接向一线扑火队伍传递指令，无需依赖传统对讲机的有限覆盖，尤其在地形复杂的山区，可有效解决信号衰减问题。同时，</w:t>
      </w:r>
      <w:r>
        <w:rPr>
          <w:rFonts w:hint="eastAsia"/>
        </w:rPr>
        <w:t>智能</w:t>
      </w:r>
      <w:r>
        <w:t>侦查监测类设备支持多平台数据接入，可将监控画面、语音通话、火情预警等信息统一传输至应急指挥系统，打破“信息孤岛”，为指挥决策提供更全面的实时数据支撑，从根本上提升岳阳市森林火灾应急处置的通信保障能力。</w:t>
      </w:r>
    </w:p>
    <w:p w14:paraId="75B7D95A">
      <w:pPr>
        <w:pStyle w:val="6"/>
        <w:rPr>
          <w:rFonts w:hint="eastAsia"/>
        </w:rPr>
      </w:pPr>
      <w:r>
        <w:t>人员培训不足</w:t>
      </w:r>
    </w:p>
    <w:p w14:paraId="75B7D95B">
      <w:pPr>
        <w:ind w:firstLine="480"/>
        <w:rPr>
          <w:rFonts w:hint="eastAsia"/>
        </w:rPr>
      </w:pPr>
      <w:r>
        <w:t>当前森林消防队伍培训体系内容相对单一，侧重于基础理论讲授，缺乏针对性强的实战技能训练与应急演练。培训课程设置未能紧跟新技术、新装备的应用发展，导致队员对新式灭火器材的操作熟练度不高。培训内容缺乏分层分类，未根据不同岗位、不同年龄段的队员特点制定差异化教学方案，培训效果参差不齐。忽视心理疏导与团队协作训练，队员在高压环境下的心理素质与配合默契度有待提升，难以满足复杂火场环境下的实战需求。</w:t>
      </w:r>
    </w:p>
    <w:p w14:paraId="75B7D95C">
      <w:pPr>
        <w:ind w:firstLine="480"/>
        <w:rPr>
          <w:rFonts w:hint="eastAsia"/>
        </w:rPr>
      </w:pPr>
      <w:r>
        <w:t>森林消防队伍培训频次偏低，难以形成肌肉记忆与条件反射，导致关键时刻操作生疏、反应迟钝。年度培训计划执行不到位，集中培训时间短，分散自学流于形式，缺乏系统性与连续性。培训机会稀缺，大部分队员缺乏外出交流与跟班学习的机会，视野狭窄，经验积累缓慢。培训考核机制不健全，缺乏常态化的技能比武与绩效评估，难以激发队员主动学习的积极性，导致整体业务水平提升缓慢，无法满足日益增长的防火灭火任务需求。</w:t>
      </w:r>
    </w:p>
    <w:p w14:paraId="75B7D95D">
      <w:pPr>
        <w:ind w:firstLine="480"/>
        <w:rPr>
          <w:rFonts w:hint="eastAsia"/>
        </w:rPr>
      </w:pPr>
      <w:r>
        <w:t>实战演练次数少、规模小、场景模拟逼真度低，导致队伍缺乏应对真实火场的经验与应变能力。演练多为预设脚本的“演戏”，缺乏突发状况的随机处置环节，无法检验预案的可操作性与队伍的临场反应速度。跨区域、跨部门的联合演练机制不完善，协同作战能力得不到有效锻炼。演练总结复盘流于表面，未能深入剖析问题根源并提出改进措施，导致同类错误反复出现，严重制约了队伍实战能力的提升与战斗力的生成。</w:t>
      </w:r>
    </w:p>
    <w:p w14:paraId="75B7D95E">
      <w:pPr>
        <w:pStyle w:val="6"/>
        <w:rPr>
          <w:rFonts w:hint="eastAsia"/>
        </w:rPr>
      </w:pPr>
      <w:r>
        <w:t>响应效率不高</w:t>
      </w:r>
    </w:p>
    <w:p w14:paraId="75B7D95F">
      <w:pPr>
        <w:ind w:firstLine="480"/>
        <w:rPr>
          <w:rFonts w:hint="eastAsia"/>
        </w:rPr>
      </w:pPr>
      <w:r>
        <w:t>火情信息在各级指挥机构与一线队伍之间的传递渠道不畅，存在明显的延迟与失真现象。信息报送流程繁琐，层层审批导致关键情报无法及时送达决策层，错失最佳扑救时机。通信手段落后，缺乏统一的信息发布平台，导致各方获取的信息不一致，容易产生误解与误判。信息加密与安全传输机制不完善，存在泄密风险，影响了信息的保密性与权威性。必须构建扁平化、即时化的信息传递网络，确保火情信息秒级直达。</w:t>
      </w:r>
    </w:p>
    <w:p w14:paraId="75B7D960">
      <w:pPr>
        <w:ind w:firstLine="480"/>
        <w:rPr>
          <w:rFonts w:hint="eastAsia"/>
        </w:rPr>
      </w:pPr>
      <w:r>
        <w:t>指挥调度系统响应速度慢，指令下达与反馈确认环节耗时过长，难以适应瞬息万变的火场形势。缺乏智能化的辅助决策工具，指挥员难以在短时间内获取全面的态势信息与资源分布，导致调度方案不够科学精准。多级指挥体系衔接不畅，上下级指令有时存在冲突或重复，造成执行层面的混乱与资源浪费。调度指令缺乏强制性与约束力，基层队伍执行力度不一，影响了整体作战效能的发挥，亟需提升指挥调度的时效性与权威性。</w:t>
      </w:r>
    </w:p>
    <w:p w14:paraId="75B7D962">
      <w:pPr>
        <w:pStyle w:val="37"/>
        <w:ind w:firstLine="200"/>
      </w:pPr>
    </w:p>
    <w:bookmarkEnd w:id="48"/>
    <w:p w14:paraId="75B7D963">
      <w:pPr>
        <w:pStyle w:val="3"/>
        <w:rPr>
          <w:lang w:val="en-US"/>
        </w:rPr>
      </w:pPr>
      <w:bookmarkStart w:id="52" w:name="_Toc5554"/>
      <w:bookmarkStart w:id="53" w:name="_Toc30088"/>
      <w:r>
        <w:rPr>
          <w:rFonts w:hint="eastAsia"/>
          <w:lang w:val="en-US"/>
        </w:rPr>
        <w:t>项目建设的必要性</w:t>
      </w:r>
      <w:bookmarkEnd w:id="52"/>
      <w:bookmarkEnd w:id="53"/>
    </w:p>
    <w:p w14:paraId="75B7D964">
      <w:pPr>
        <w:pStyle w:val="4"/>
        <w:rPr>
          <w:rFonts w:hint="eastAsia"/>
        </w:rPr>
      </w:pPr>
      <w:bookmarkStart w:id="54" w:name="_Toc6029"/>
      <w:r>
        <w:t>项目建设是深入贯彻习近平生态文明重要思想的举措</w:t>
      </w:r>
      <w:bookmarkEnd w:id="54"/>
    </w:p>
    <w:p w14:paraId="75B7D965">
      <w:pPr>
        <w:ind w:left="-2" w:leftChars="-1" w:firstLine="480"/>
        <w:rPr>
          <w:rFonts w:hint="eastAsia"/>
        </w:rPr>
      </w:pPr>
      <w:r>
        <w:rPr>
          <w:rFonts w:hint="eastAsia"/>
        </w:rPr>
        <w:t>党的十八大以来，习近平总书记围绕生态文明建设发表了一系列重要讲话，阐述了森林资源在生态文明建设中的重要作用，提出了森林关系国家生态安全的重要论断，并多次对加强森林资源保护、做好森林火灾扑救作出重要指示批示。近年来，我国森林防灭火工作取得了明显成效，但与森林防灭火工作的艰巨任务和严峻形势相比，仍有一定差距。因此，围绕“预防、扑救、保障 ”三大体系，开展森林防灭火工作，严防发生重特大森林火灾，全面提升森林资源保护和森林防灭火工作水平，牢固树立和谐共生的辩证思维，高瞻远瞩的战略思维，统筹协调的系统思维，防患未然的底线思维和建章立制的法治思维等科学思维方式，是深入贯彻习近平生态文明重要思想的重大举措。</w:t>
      </w:r>
    </w:p>
    <w:p w14:paraId="75B7D966">
      <w:pPr>
        <w:pStyle w:val="4"/>
        <w:rPr>
          <w:rFonts w:hint="eastAsia"/>
        </w:rPr>
      </w:pPr>
      <w:bookmarkStart w:id="55" w:name="_Toc19298"/>
      <w:r>
        <w:t>项目建设是适应新形势下森林防灭火工作的现实需要</w:t>
      </w:r>
      <w:bookmarkEnd w:id="55"/>
    </w:p>
    <w:p w14:paraId="75B7D967">
      <w:pPr>
        <w:ind w:left="-2" w:leftChars="-1" w:firstLine="480"/>
        <w:rPr>
          <w:rFonts w:hint="eastAsia"/>
        </w:rPr>
      </w:pPr>
      <w:r>
        <w:rPr>
          <w:rFonts w:hint="eastAsia"/>
        </w:rPr>
        <w:t>我国森林防灭火设施建设正处在一个大转变、大提质的时期，“3S”等高新技术正在森林防灭火方面得到广泛运用。多年来，项目区虽建设一定数量的防火、灭火的基础设施，但设备陈旧老化，损坏严重，与有效防范森林火灾极不相适应。总体而言， 目前项目区的森林防灭火建设仍处于传统防火向科学防火转变的过渡阶段，防火能力与不断发展的森林防灭火实际需要还存在很大差距。针对这一现状，必须运用先进的科学技术和手段，完善防火设施设备，一旦发生火灾，可以形成呼之即来、来之能战的反应能力和战斗力，及时组织扑救，最大限度地减少火灾造成的损失。因此，加快项目区森林火灾应急能力建设，是紧跟生态建设步伐，适应新形势下森林防灭火工作的现实需要。</w:t>
      </w:r>
    </w:p>
    <w:p w14:paraId="75B7D968">
      <w:pPr>
        <w:pStyle w:val="4"/>
        <w:rPr>
          <w:rFonts w:hint="eastAsia"/>
          <w:lang w:val="en-US"/>
        </w:rPr>
      </w:pPr>
      <w:bookmarkStart w:id="56" w:name="_Toc7846"/>
      <w:r>
        <w:rPr>
          <w:rFonts w:hint="eastAsia"/>
          <w:lang w:val="en-US"/>
        </w:rPr>
        <w:t>项目建设是服务长江经济带建设的战略需求</w:t>
      </w:r>
      <w:bookmarkEnd w:id="56"/>
    </w:p>
    <w:p w14:paraId="75B7D96A">
      <w:pPr>
        <w:ind w:left="-2" w:leftChars="-1" w:firstLine="480"/>
        <w:rPr>
          <w:rFonts w:hint="eastAsia"/>
        </w:rPr>
        <w:sectPr>
          <w:pgSz w:w="11906" w:h="16838"/>
          <w:pgMar w:top="1440" w:right="1800" w:bottom="1440" w:left="1800" w:header="851" w:footer="992" w:gutter="0"/>
          <w:cols w:space="425" w:num="1"/>
          <w:docGrid w:type="lines" w:linePitch="312" w:charSpace="0"/>
        </w:sectPr>
      </w:pPr>
      <w:r>
        <w:rPr>
          <w:rFonts w:hint="eastAsia"/>
        </w:rPr>
        <w:t>2018 年 11 月，中共中央、国务院明确要求充分发挥长江经济带横跨东中西三大板块的区位优势，以共抓大保护、不搞大开发为导向，以生态优先、绿色发展为引领，依托长江黄金水道，推动长江上中下游地区协调发展和沿江地区高质量发展。岳阳市是长江中游城市群的重镇，具有通江达海的地理优势，是长江经济带绿色发展示范区。《湖南省国 民经济和社会发展第十四个五年规划和二〇三五年远景目标纲要》明确，岳阳市要建设省域副中心城市，增强城市综合服务能级，打造“长三角 ”要素聚集流动的中心城市，构建长江百里绿色经济发展走廊。随着城市 建设的加快，潜在火灾危险因素越来越大，重大危险源越来越多，安全生产面临的压力和挑战前所未有。因此，项目建设是维护生态环境安全和社会稳定，保障抓住重大发展机遇，加快长江经济带建设的战略需求。</w:t>
      </w:r>
    </w:p>
    <w:p w14:paraId="75B7D96B">
      <w:pPr>
        <w:pStyle w:val="2"/>
        <w:rPr>
          <w:rFonts w:hint="eastAsia"/>
          <w:lang w:val="en-US"/>
        </w:rPr>
      </w:pPr>
      <w:bookmarkStart w:id="57" w:name="_Toc29527"/>
      <w:bookmarkStart w:id="58" w:name="_Toc25410"/>
      <w:r>
        <w:rPr>
          <w:rFonts w:hint="eastAsia"/>
          <w:lang w:val="en-US"/>
        </w:rPr>
        <w:t>需求分析</w:t>
      </w:r>
      <w:bookmarkEnd w:id="57"/>
      <w:bookmarkEnd w:id="58"/>
    </w:p>
    <w:p w14:paraId="75B7D96C">
      <w:pPr>
        <w:pStyle w:val="3"/>
        <w:rPr>
          <w:lang w:val="en-US"/>
        </w:rPr>
      </w:pPr>
      <w:bookmarkStart w:id="59" w:name="_Toc31271"/>
      <w:bookmarkStart w:id="60" w:name="_Toc16669"/>
      <w:r>
        <w:rPr>
          <w:rFonts w:hint="eastAsia"/>
          <w:lang w:val="en-US"/>
        </w:rPr>
        <w:t>与业务职能相关的业务目标分析</w:t>
      </w:r>
      <w:bookmarkEnd w:id="59"/>
      <w:bookmarkEnd w:id="60"/>
    </w:p>
    <w:p w14:paraId="75B7D96D">
      <w:pPr>
        <w:ind w:left="-2" w:leftChars="-1" w:firstLine="480"/>
        <w:rPr>
          <w:rFonts w:hint="eastAsia"/>
          <w:lang w:val="en-US"/>
        </w:rPr>
      </w:pPr>
      <w:r>
        <w:rPr>
          <w:rFonts w:hint="eastAsia"/>
          <w:lang w:val="en-US"/>
        </w:rPr>
        <w:t>本项目的业务职能核心是提升森林火灾防控能力，实现从传统人防向技防结合的现代化治理转型。具体目标包括：</w:t>
      </w:r>
    </w:p>
    <w:p w14:paraId="75B7D96E">
      <w:pPr>
        <w:ind w:left="-2" w:leftChars="-1" w:firstLine="480"/>
        <w:rPr>
          <w:rFonts w:hint="eastAsia"/>
          <w:lang w:val="en-US"/>
        </w:rPr>
      </w:pPr>
      <w:r>
        <w:rPr>
          <w:lang w:val="en-US"/>
        </w:rPr>
        <w:t>一、政务目标</w:t>
      </w:r>
    </w:p>
    <w:p w14:paraId="75B7D96F">
      <w:pPr>
        <w:ind w:left="-2" w:leftChars="-1" w:firstLine="480"/>
        <w:rPr>
          <w:rFonts w:hint="eastAsia"/>
          <w:lang w:val="en-US"/>
        </w:rPr>
      </w:pPr>
      <w:r>
        <w:rPr>
          <w:lang w:val="en-US"/>
        </w:rPr>
        <w:t>深入贯彻国家“预防为主、积极消灭、生命至上、安全第一”的森林防火战略，严格落实《森林防火条例》《湖南省森林防火若干规定》等法律法规要求，全力保障岳阳市森林生态安全与社会公共秩序稳定。项目精准对接《全国森林防火规划(2016—2025年）》中“提升信息化防控能力”的核心任务，契合湖南省“构建全域森林防火监测网络”的省级规划布局，通过技术赋能推动岳阳市森林防火治理体系从“被动应对”向“主动防控”转型，形成可复制、可推广的现代化森林防火治理样板，助力全省乃至全国森林防火治理能力提升。</w:t>
      </w:r>
    </w:p>
    <w:p w14:paraId="75B7D970">
      <w:pPr>
        <w:ind w:left="-2" w:leftChars="-1" w:firstLine="480"/>
        <w:rPr>
          <w:rFonts w:hint="eastAsia"/>
          <w:lang w:val="en-US"/>
        </w:rPr>
      </w:pPr>
      <w:r>
        <w:rPr>
          <w:lang w:val="en-US"/>
        </w:rPr>
        <w:t>二、业务目标</w:t>
      </w:r>
    </w:p>
    <w:p w14:paraId="75B7D971">
      <w:pPr>
        <w:ind w:left="-2" w:leftChars="-1" w:firstLine="480"/>
        <w:rPr>
          <w:rFonts w:hint="eastAsia"/>
          <w:lang w:val="en-US"/>
        </w:rPr>
      </w:pPr>
      <w:r>
        <w:rPr>
          <w:lang w:val="en-US"/>
        </w:rPr>
        <w:t>以“24小时火灾扑灭率≥95%、森林火灾受害率≤0.9%”为核心指标，通过构建“空天地人”协同防控体系，全面提升火情早发现、早处置能力。其中，航空监测实现重点林区全覆盖，将火情发现时间从“小时级”压缩至“分钟级”；地面监测网络填补偏远山区盲区，实现重点区域24小时不间断值守；应急通信体系确保极端环境下指挥链路畅通，支撑扑火队伍快速集结；护林员队伍与智能设备深度融合，形成“技防补位、人防兜底”的防控格局，最大限度减少森林资源损失，守护岳阳市生态屏障。</w:t>
      </w:r>
    </w:p>
    <w:p w14:paraId="75B7D972">
      <w:pPr>
        <w:ind w:left="-2" w:leftChars="-1" w:firstLine="480"/>
        <w:rPr>
          <w:rFonts w:hint="eastAsia"/>
          <w:lang w:val="en-US"/>
        </w:rPr>
      </w:pPr>
      <w:r>
        <w:rPr>
          <w:lang w:val="en-US"/>
        </w:rPr>
        <w:t>三、作业目标</w:t>
      </w:r>
    </w:p>
    <w:p w14:paraId="75B7D973">
      <w:pPr>
        <w:ind w:left="-2" w:leftChars="-1" w:firstLine="480"/>
        <w:rPr>
          <w:rFonts w:hint="eastAsia"/>
          <w:lang w:val="en-US"/>
        </w:rPr>
      </w:pPr>
      <w:r>
        <w:rPr>
          <w:lang w:val="en-US"/>
        </w:rPr>
        <w:t>建立“航空巡护+地面监控+人工巡查”三位一体的常态化巡护机制：无人机每日固定时段巡航重点林区，日覆盖面积≥100平方公里，实现复杂地形全域覆盖；地面视频监控系统24小时值守，AI烟火识别算法自动预警，有效降低人为火源引发火灾的风险；护林员配备北斗手持巡护终端，实时上传巡护轨迹与现场信息，巡护效率提升30%以上。通过常态化巡护与智能预警结合，实现火情发现时间缩短50%以上，将火灾隐患消灭在萌芽状态，筑牢森林火灾防控第一道防线。</w:t>
      </w:r>
    </w:p>
    <w:p w14:paraId="75B7D974">
      <w:pPr>
        <w:ind w:left="-2" w:leftChars="-1" w:firstLine="480"/>
        <w:rPr>
          <w:rFonts w:hint="eastAsia"/>
          <w:lang w:val="en-US"/>
        </w:rPr>
      </w:pPr>
      <w:r>
        <w:rPr>
          <w:lang w:val="en-US"/>
        </w:rPr>
        <w:t>四、信息化系统建设目标</w:t>
      </w:r>
    </w:p>
    <w:p w14:paraId="75B7D975">
      <w:pPr>
        <w:ind w:left="-2" w:leftChars="-1" w:firstLine="480"/>
        <w:rPr>
          <w:rFonts w:hint="eastAsia"/>
          <w:lang w:val="en-US"/>
        </w:rPr>
      </w:pPr>
      <w:r>
        <w:rPr>
          <w:lang w:val="en-US"/>
        </w:rPr>
        <w:t>建成集“预警监测、通信调度、资源管理、决策分析”于一体的“一屏总览”指挥平台，实现林区监管“可视化、可追溯、可调度”。平台集成空天地多源监测数据，实时展示火点位置、无人机航线、护林员巡护轨迹等信息；融合通信调度系统支持跨部门语音、视频、数据一体化传输，确保指挥指令秒级直达；资源管理模块实现扑火队伍、装备、物资的动态调度与优化配置；决策分析功能整合气象数据、地形数据、历史火灾案例，自动生成火险等级预报与最优扑火路线，为指挥人员提供科学决策支撑，推动森林防火信息化从“单一监测”向“智能管控”升级。</w:t>
      </w:r>
    </w:p>
    <w:p w14:paraId="75B7D976">
      <w:pPr>
        <w:pStyle w:val="3"/>
        <w:rPr>
          <w:lang w:val="en-US"/>
        </w:rPr>
      </w:pPr>
      <w:bookmarkStart w:id="61" w:name="_Toc26489"/>
      <w:bookmarkStart w:id="62" w:name="_Toc6059"/>
      <w:r>
        <w:rPr>
          <w:rFonts w:hint="eastAsia"/>
          <w:lang w:val="en-US"/>
        </w:rPr>
        <w:t>业务功能、业务流程和业务量分析</w:t>
      </w:r>
      <w:bookmarkEnd w:id="61"/>
      <w:bookmarkEnd w:id="62"/>
    </w:p>
    <w:p w14:paraId="75B7D977">
      <w:pPr>
        <w:pStyle w:val="4"/>
        <w:rPr>
          <w:rFonts w:hint="eastAsia"/>
          <w:lang w:val="en-US"/>
        </w:rPr>
      </w:pPr>
      <w:bookmarkStart w:id="63" w:name="_Toc10479"/>
      <w:r>
        <w:rPr>
          <w:rFonts w:hint="eastAsia"/>
          <w:lang w:val="en-US"/>
        </w:rPr>
        <w:t>业务功能分析</w:t>
      </w:r>
      <w:bookmarkEnd w:id="63"/>
    </w:p>
    <w:p w14:paraId="75B7D978">
      <w:pPr>
        <w:ind w:left="-2" w:leftChars="-1" w:firstLine="480"/>
        <w:rPr>
          <w:rFonts w:hint="eastAsia"/>
          <w:lang w:val="en-US"/>
        </w:rPr>
      </w:pPr>
      <w:r>
        <w:rPr>
          <w:lang w:val="en-US"/>
        </w:rPr>
        <w:t>一、构建“空天地”立体监测网络</w:t>
      </w:r>
    </w:p>
    <w:p w14:paraId="75B7D979">
      <w:pPr>
        <w:ind w:left="-2" w:leftChars="-1" w:firstLine="480"/>
        <w:rPr>
          <w:rFonts w:hint="eastAsia"/>
          <w:lang w:val="en-US"/>
        </w:rPr>
      </w:pPr>
      <w:r>
        <w:rPr>
          <w:lang w:val="en-US"/>
        </w:rPr>
        <w:t>实现火情全域实时监测、早期预警与精准定位，将火灾发现时间从“小时级”压缩至“分钟级”。</w:t>
      </w:r>
    </w:p>
    <w:p w14:paraId="75B7D97A">
      <w:pPr>
        <w:ind w:left="-2" w:leftChars="-1" w:firstLine="480"/>
        <w:rPr>
          <w:rFonts w:hint="eastAsia"/>
          <w:lang w:val="en-US"/>
        </w:rPr>
      </w:pPr>
      <w:r>
        <w:rPr>
          <w:lang w:val="en-US"/>
        </w:rPr>
        <w:t xml:space="preserve">1. </w:t>
      </w:r>
      <w:r>
        <w:rPr>
          <w:rFonts w:hint="eastAsia"/>
          <w:lang w:val="en-US"/>
        </w:rPr>
        <w:t>实现</w:t>
      </w:r>
      <w:r>
        <w:rPr>
          <w:lang w:val="en-US"/>
        </w:rPr>
        <w:t>空中机动巡查与应急处置</w:t>
      </w:r>
    </w:p>
    <w:p w14:paraId="75B7D97B">
      <w:pPr>
        <w:ind w:left="-2" w:leftChars="-1" w:firstLine="480"/>
        <w:rPr>
          <w:rFonts w:hint="eastAsia"/>
          <w:lang w:val="en-US"/>
        </w:rPr>
      </w:pPr>
      <w:r>
        <w:rPr>
          <w:lang w:val="en-US"/>
        </w:rPr>
        <w:t>功能定位：填补地面监测盲区，实现复杂地形火情快速侦察与应急支援。</w:t>
      </w:r>
    </w:p>
    <w:p w14:paraId="75B7D97C">
      <w:pPr>
        <w:ind w:left="-2" w:leftChars="-1" w:firstLine="480"/>
        <w:rPr>
          <w:rFonts w:hint="eastAsia"/>
          <w:lang w:val="en-US"/>
        </w:rPr>
      </w:pPr>
      <w:r>
        <w:rPr>
          <w:lang w:val="en-US"/>
        </w:rPr>
        <w:t>核心功能：</w:t>
      </w:r>
    </w:p>
    <w:p w14:paraId="75B7D97D">
      <w:pPr>
        <w:ind w:left="-2" w:leftChars="-1" w:firstLine="482"/>
        <w:rPr>
          <w:rFonts w:hint="eastAsia"/>
          <w:b/>
          <w:bCs/>
          <w:lang w:val="en-US"/>
        </w:rPr>
      </w:pPr>
      <w:r>
        <w:rPr>
          <w:b/>
          <w:bCs/>
          <w:lang w:val="en-US"/>
        </w:rPr>
        <w:t>多机型协同巡护：</w:t>
      </w:r>
    </w:p>
    <w:p w14:paraId="75B7D97E">
      <w:pPr>
        <w:pStyle w:val="18"/>
        <w:ind w:firstLine="480"/>
        <w:rPr>
          <w:rFonts w:hint="eastAsia"/>
          <w:lang w:val="en-US"/>
        </w:rPr>
      </w:pPr>
      <w:r>
        <w:rPr>
          <w:rFonts w:hint="eastAsia"/>
          <w:lang w:val="en-US"/>
        </w:rPr>
        <w:t>据调研统计：</w:t>
      </w:r>
    </w:p>
    <w:p w14:paraId="75B7D97F">
      <w:pPr>
        <w:ind w:left="-2" w:leftChars="-1" w:firstLine="480"/>
        <w:rPr>
          <w:rFonts w:hint="eastAsia"/>
          <w:lang w:val="en-US"/>
        </w:rPr>
      </w:pPr>
      <w:r>
        <w:rPr>
          <w:rFonts w:hint="eastAsia"/>
          <w:lang w:val="en-US"/>
        </w:rPr>
        <w:t>1）10台</w:t>
      </w:r>
      <w:r>
        <w:rPr>
          <w:lang w:val="en-US"/>
        </w:rPr>
        <w:t>I型无人机：每日固定时段对重点林区开展大面积巡航（单台日覆盖面积≥</w:t>
      </w:r>
      <w:r>
        <w:rPr>
          <w:rFonts w:hint="eastAsia"/>
          <w:lang w:val="en-US"/>
        </w:rPr>
        <w:t>100</w:t>
      </w:r>
      <w:r>
        <w:rPr>
          <w:lang w:val="en-US"/>
        </w:rPr>
        <w:t>平方公里），搭载高分辨率可见光/红外热成像载荷，识别早期小火源</w:t>
      </w:r>
      <w:r>
        <w:rPr>
          <w:rFonts w:hint="eastAsia"/>
          <w:lang w:val="en-US"/>
        </w:rPr>
        <w:t>；</w:t>
      </w:r>
    </w:p>
    <w:p w14:paraId="75B7D980">
      <w:pPr>
        <w:ind w:left="-2" w:leftChars="-1" w:firstLine="480"/>
        <w:rPr>
          <w:rFonts w:hint="eastAsia"/>
          <w:lang w:val="en-US"/>
        </w:rPr>
      </w:pPr>
      <w:r>
        <w:rPr>
          <w:lang w:val="en-US"/>
        </w:rPr>
        <w:t>临湘市/岳阳县（各2台）：负责边界林区和湿地周边巡护，实现区域火情同步预警。</w:t>
      </w:r>
    </w:p>
    <w:p w14:paraId="75B7D981">
      <w:pPr>
        <w:ind w:left="-2" w:leftChars="-1" w:firstLine="480"/>
        <w:rPr>
          <w:rFonts w:hint="eastAsia"/>
          <w:lang w:val="en-US"/>
        </w:rPr>
      </w:pPr>
      <w:r>
        <w:rPr>
          <w:lang w:val="en-US"/>
        </w:rPr>
        <w:t>汨罗市/岳阳市本级（各</w:t>
      </w:r>
      <w:r>
        <w:rPr>
          <w:rFonts w:hint="eastAsia"/>
          <w:lang w:val="en-US"/>
        </w:rPr>
        <w:t>2</w:t>
      </w:r>
      <w:r>
        <w:rPr>
          <w:lang w:val="en-US"/>
        </w:rPr>
        <w:t>台）：负责平原林区和城市周边林地巡护，重点监测祭祀用火、农事用火等人为火源，与地面护林员形成“空地协同”。</w:t>
      </w:r>
    </w:p>
    <w:p w14:paraId="75B7D982">
      <w:pPr>
        <w:ind w:left="-2" w:leftChars="-1" w:firstLine="480"/>
        <w:rPr>
          <w:rFonts w:hint="eastAsia"/>
          <w:lang w:val="en-US"/>
        </w:rPr>
      </w:pPr>
      <w:r>
        <w:rPr>
          <w:lang w:val="en-US"/>
        </w:rPr>
        <w:t>云溪区/芦头林场（各1台）：负责小型林区精准监测，重点关注化工园区、林场核心保护区的火险隐患，实现“重点区域重点防控”。</w:t>
      </w:r>
    </w:p>
    <w:p w14:paraId="75B7D983">
      <w:pPr>
        <w:ind w:left="-2" w:leftChars="-1" w:firstLine="480"/>
        <w:rPr>
          <w:rFonts w:hint="eastAsia"/>
          <w:lang w:val="en-US"/>
        </w:rPr>
      </w:pPr>
      <w:r>
        <w:rPr>
          <w:lang w:val="en-US"/>
        </w:rPr>
        <w:t>平江县</w:t>
      </w:r>
      <w:r>
        <w:rPr>
          <w:rFonts w:hint="eastAsia"/>
          <w:lang w:val="en-US"/>
        </w:rPr>
        <w:t>（0台）</w:t>
      </w:r>
      <w:r>
        <w:rPr>
          <w:lang w:val="en-US"/>
        </w:rPr>
        <w:t>：平江县</w:t>
      </w:r>
      <w:r>
        <w:rPr>
          <w:rFonts w:hint="eastAsia"/>
          <w:lang w:val="en-US"/>
        </w:rPr>
        <w:t>林地</w:t>
      </w:r>
      <w:r>
        <w:rPr>
          <w:lang w:val="en-US"/>
        </w:rPr>
        <w:t>总面积大，但多为山地林区，地形复杂，I型无人机（大型长航时）的起降和操作难度较高</w:t>
      </w:r>
      <w:r>
        <w:rPr>
          <w:rFonts w:hint="eastAsia"/>
          <w:lang w:val="en-US"/>
        </w:rPr>
        <w:t>，</w:t>
      </w:r>
      <w:r>
        <w:rPr>
          <w:lang w:val="en-US"/>
        </w:rPr>
        <w:t>不如小型无人机灵活</w:t>
      </w:r>
      <w:r>
        <w:rPr>
          <w:rFonts w:hint="eastAsia"/>
          <w:lang w:val="en-US"/>
        </w:rPr>
        <w:t>。</w:t>
      </w:r>
    </w:p>
    <w:p w14:paraId="75B7D984">
      <w:pPr>
        <w:ind w:left="-2" w:leftChars="-1" w:firstLine="480"/>
        <w:rPr>
          <w:rFonts w:hint="eastAsia"/>
          <w:lang w:val="en-US"/>
        </w:rPr>
      </w:pPr>
      <w:r>
        <w:rPr>
          <w:rFonts w:hint="eastAsia"/>
          <w:lang w:val="en-US"/>
        </w:rPr>
        <w:t>2）37台</w:t>
      </w:r>
      <w:r>
        <w:rPr>
          <w:lang w:val="en-US"/>
        </w:rPr>
        <w:t>Ⅱ型无人机：针对陡峭山区、密林区域开展机动巡查，可由地面巡护人员现场操控，实现“发现可疑点→立即抵近复核”；</w:t>
      </w:r>
    </w:p>
    <w:p w14:paraId="75B7D985">
      <w:pPr>
        <w:ind w:left="-2" w:leftChars="-1" w:firstLine="480"/>
        <w:rPr>
          <w:rFonts w:hint="eastAsia"/>
          <w:lang w:val="en-US"/>
        </w:rPr>
      </w:pPr>
      <w:r>
        <w:rPr>
          <w:lang w:val="en-US"/>
        </w:rPr>
        <w:t>平江县（13台）：按“东南西北中”五个方向划分巡护航线，每台无人机负责一个区域，实现每日全域覆盖；重点监测连云山、福寿山等陡峭山区和密林区域。</w:t>
      </w:r>
    </w:p>
    <w:p w14:paraId="75B7D986">
      <w:pPr>
        <w:ind w:left="-2" w:leftChars="-1" w:firstLine="480"/>
        <w:rPr>
          <w:rFonts w:hint="eastAsia"/>
          <w:lang w:val="en-US"/>
        </w:rPr>
      </w:pPr>
      <w:r>
        <w:rPr>
          <w:lang w:val="en-US"/>
        </w:rPr>
        <w:t>岳阳县（8台）：负责湿地与林地交界区域巡护，重点监测湿地周边火险隐患；与平江县无人机形成联动，实现跨区域火情预警。</w:t>
      </w:r>
    </w:p>
    <w:p w14:paraId="75B7D987">
      <w:pPr>
        <w:ind w:left="-2" w:leftChars="-1" w:firstLine="480"/>
        <w:rPr>
          <w:rFonts w:hint="eastAsia"/>
          <w:lang w:val="en-US"/>
        </w:rPr>
      </w:pPr>
      <w:r>
        <w:rPr>
          <w:lang w:val="en-US"/>
        </w:rPr>
        <w:t>汨罗市（6台）：负责平原林区巡护，重点监测祭祀用火、农事用火等人为火源；与地面护林员形成“空地协同”，提升火点发现效率。</w:t>
      </w:r>
    </w:p>
    <w:p w14:paraId="75B7D988">
      <w:pPr>
        <w:ind w:left="-2" w:leftChars="-1" w:firstLine="480"/>
        <w:rPr>
          <w:rFonts w:hint="eastAsia"/>
          <w:lang w:val="en-US"/>
        </w:rPr>
      </w:pPr>
      <w:r>
        <w:rPr>
          <w:lang w:val="en-US"/>
        </w:rPr>
        <w:t>岳阳市本级（3台）：负责城市周边林地巡护，重点监测城市周边火险隐患；与Ⅰ型无人机形成“高低搭配”，实现“大面积监测+小区域精准复核”。</w:t>
      </w:r>
    </w:p>
    <w:p w14:paraId="75B7D989">
      <w:pPr>
        <w:ind w:left="-2" w:leftChars="-1" w:firstLine="480"/>
        <w:rPr>
          <w:rFonts w:hint="eastAsia"/>
          <w:lang w:val="en-US"/>
        </w:rPr>
      </w:pPr>
      <w:r>
        <w:rPr>
          <w:lang w:val="en-US"/>
        </w:rPr>
        <w:t>芦头林场（3台）：负责国有林场核心保护区精准监测，重点监测林场内的火险隐患；与平江县无人机形成联动，实现跨区域火情预警。</w:t>
      </w:r>
    </w:p>
    <w:p w14:paraId="75B7D98A">
      <w:pPr>
        <w:ind w:left="-2" w:leftChars="-1" w:firstLine="480"/>
        <w:rPr>
          <w:rFonts w:hint="eastAsia"/>
          <w:lang w:val="en-US"/>
        </w:rPr>
      </w:pPr>
      <w:r>
        <w:rPr>
          <w:lang w:val="en-US"/>
        </w:rPr>
        <w:t>云溪区（2台）：负责化工园区周边火险隐患排查，重点监测化工园区周边的火险隐患；与地面护林员形成“空地协同”，提升火点发现效率。</w:t>
      </w:r>
    </w:p>
    <w:p w14:paraId="75B7D98B">
      <w:pPr>
        <w:ind w:left="-2" w:leftChars="-1" w:firstLine="480"/>
        <w:rPr>
          <w:rFonts w:hint="eastAsia"/>
          <w:lang w:val="en-US"/>
        </w:rPr>
      </w:pPr>
      <w:r>
        <w:rPr>
          <w:lang w:val="en-US"/>
        </w:rPr>
        <w:t>临湘市（</w:t>
      </w:r>
      <w:r>
        <w:rPr>
          <w:rFonts w:hint="eastAsia"/>
          <w:lang w:val="en-US"/>
        </w:rPr>
        <w:t>2</w:t>
      </w:r>
      <w:r>
        <w:rPr>
          <w:lang w:val="en-US"/>
        </w:rPr>
        <w:t>台）：负责边界林区巡护，重点监测与湖北交界的火险隐患；与邻省无人机形成联动，实现跨区域火情预警。</w:t>
      </w:r>
    </w:p>
    <w:p w14:paraId="75B7D98C">
      <w:pPr>
        <w:numPr>
          <w:ilvl w:val="0"/>
          <w:numId w:val="13"/>
        </w:numPr>
        <w:ind w:left="-2" w:leftChars="-1" w:firstLine="480"/>
        <w:rPr>
          <w:rFonts w:hint="eastAsia"/>
          <w:lang w:val="en-US"/>
        </w:rPr>
      </w:pPr>
      <w:r>
        <w:rPr>
          <w:rFonts w:hint="eastAsia"/>
          <w:lang w:val="en-US"/>
        </w:rPr>
        <w:t>20台</w:t>
      </w:r>
      <w:r>
        <w:rPr>
          <w:lang w:val="en-US"/>
        </w:rPr>
        <w:t>载重大型无人机：火情发生时，携带灭火弹/消防物资开展应急处置，</w:t>
      </w:r>
      <w:r>
        <w:rPr>
          <w:rFonts w:hint="eastAsia"/>
          <w:lang w:val="en-US"/>
        </w:rPr>
        <w:t>实现</w:t>
      </w:r>
      <w:r>
        <w:rPr>
          <w:lang w:val="en-US"/>
        </w:rPr>
        <w:t>过火区域</w:t>
      </w:r>
      <w:r>
        <w:rPr>
          <w:rFonts w:hint="eastAsia"/>
          <w:lang w:val="en-US"/>
        </w:rPr>
        <w:t>的</w:t>
      </w:r>
      <w:r>
        <w:rPr>
          <w:lang w:val="en-US"/>
        </w:rPr>
        <w:t>覆盖；</w:t>
      </w:r>
    </w:p>
    <w:p w14:paraId="75B7D98D">
      <w:pPr>
        <w:ind w:left="-2" w:leftChars="-1" w:firstLine="480"/>
        <w:rPr>
          <w:rFonts w:hint="eastAsia"/>
          <w:lang w:val="en-US"/>
        </w:rPr>
      </w:pPr>
      <w:r>
        <w:rPr>
          <w:lang w:val="en-US"/>
        </w:rPr>
        <w:t>平江县（</w:t>
      </w:r>
      <w:r>
        <w:rPr>
          <w:rFonts w:hint="eastAsia"/>
          <w:lang w:val="en-US"/>
        </w:rPr>
        <w:t>4</w:t>
      </w:r>
      <w:r>
        <w:rPr>
          <w:lang w:val="en-US"/>
        </w:rPr>
        <w:t>台）：按“东南西北中”五个方向划分作业区域，每台无人机负责一个区域，实现“发现火情→立即处置”的需求；重点监测连云山、福寿山等陡峭山区，与地面消防队伍形成“空地协同”。</w:t>
      </w:r>
    </w:p>
    <w:p w14:paraId="75B7D98E">
      <w:pPr>
        <w:ind w:left="-2" w:leftChars="-1" w:firstLine="480"/>
        <w:rPr>
          <w:rFonts w:hint="eastAsia"/>
          <w:lang w:val="en-US"/>
        </w:rPr>
      </w:pPr>
      <w:r>
        <w:rPr>
          <w:lang w:val="en-US"/>
        </w:rPr>
        <w:t>岳阳市本级（4台）：作为全市应急支援的储备力量，随时调度至其他区域；负责城市周边林地灭火，重点监测城市周边火险隐患。</w:t>
      </w:r>
    </w:p>
    <w:p w14:paraId="75B7D98F">
      <w:pPr>
        <w:ind w:left="-2" w:leftChars="-1" w:firstLine="480"/>
        <w:rPr>
          <w:rFonts w:hint="eastAsia"/>
          <w:lang w:val="en-US"/>
        </w:rPr>
      </w:pPr>
      <w:r>
        <w:rPr>
          <w:lang w:val="en-US"/>
        </w:rPr>
        <w:t>汨罗市（</w:t>
      </w:r>
      <w:r>
        <w:rPr>
          <w:rFonts w:hint="eastAsia"/>
          <w:lang w:val="en-US"/>
        </w:rPr>
        <w:t>5</w:t>
      </w:r>
      <w:r>
        <w:rPr>
          <w:lang w:val="en-US"/>
        </w:rPr>
        <w:t>台）：负责平原林区灭火，重点监测祭祀用火、农事用火等人为火源；与地面消防队伍形成“空地协同”，提升火点扑救效率。</w:t>
      </w:r>
    </w:p>
    <w:p w14:paraId="75B7D990">
      <w:pPr>
        <w:ind w:left="-2" w:leftChars="-1" w:firstLine="480"/>
        <w:rPr>
          <w:rFonts w:hint="eastAsia"/>
          <w:lang w:val="en-US"/>
        </w:rPr>
      </w:pPr>
      <w:r>
        <w:rPr>
          <w:lang w:val="en-US"/>
        </w:rPr>
        <w:t>岳阳县（2台）：负责湿地与林地交界区域灭火，重点监测湿地周边火险隐患；与平江县无人机形成联动，实现跨区域火情预警。</w:t>
      </w:r>
    </w:p>
    <w:p w14:paraId="75B7D991">
      <w:pPr>
        <w:ind w:left="-2" w:leftChars="-1" w:firstLine="480"/>
        <w:rPr>
          <w:rFonts w:hint="eastAsia"/>
          <w:lang w:val="en-US"/>
        </w:rPr>
      </w:pPr>
      <w:r>
        <w:rPr>
          <w:lang w:val="en-US"/>
        </w:rPr>
        <w:t>临湘市（2台）：负责边界林区灭火，重点监测与湖北交界的火险隐患；与邻省消防队伍形成联动，实现跨区域火情预警。</w:t>
      </w:r>
    </w:p>
    <w:p w14:paraId="75B7D992">
      <w:pPr>
        <w:ind w:left="-2" w:leftChars="-1" w:firstLine="480"/>
        <w:rPr>
          <w:rFonts w:hint="eastAsia"/>
          <w:lang w:val="en-US"/>
        </w:rPr>
      </w:pPr>
      <w:r>
        <w:rPr>
          <w:lang w:val="en-US"/>
        </w:rPr>
        <w:t>云溪区（2台）：负责化工园区周边灭火，重点监测化工园区周边火险隐患；与地面消防队伍形成“空地协同”，提升火点扑救效率。</w:t>
      </w:r>
    </w:p>
    <w:p w14:paraId="75B7D993">
      <w:pPr>
        <w:ind w:left="-2" w:leftChars="-1" w:firstLine="480"/>
        <w:rPr>
          <w:rFonts w:hint="eastAsia"/>
          <w:lang w:val="en-US"/>
        </w:rPr>
      </w:pPr>
      <w:r>
        <w:rPr>
          <w:lang w:val="en-US"/>
        </w:rPr>
        <w:t>芦头林场（1台）：负责国有林场核心保护区灭火，重点监测林场内的火险隐患；与平江县无人机形成联动，实现跨区域火情预警。</w:t>
      </w:r>
    </w:p>
    <w:p w14:paraId="75B7D994">
      <w:pPr>
        <w:ind w:left="-2" w:leftChars="-1" w:firstLine="480"/>
        <w:rPr>
          <w:rFonts w:hint="eastAsia"/>
          <w:lang w:val="en-US"/>
        </w:rPr>
      </w:pPr>
      <w:r>
        <w:rPr>
          <w:rFonts w:hint="eastAsia"/>
          <w:lang w:val="en-US"/>
        </w:rPr>
        <w:t>4）</w:t>
      </w:r>
      <w:r>
        <w:rPr>
          <w:lang w:val="en-US"/>
        </w:rPr>
        <w:t>29台小型无人机：配合北斗手持巡护终端，对徒步巡护难以到达的区域进行辅助侦察，回传实时视频至指挥中心</w:t>
      </w:r>
      <w:r>
        <w:rPr>
          <w:rFonts w:hint="eastAsia"/>
          <w:lang w:val="en-US"/>
        </w:rPr>
        <w:t>；</w:t>
      </w:r>
    </w:p>
    <w:p w14:paraId="75B7D995">
      <w:pPr>
        <w:ind w:left="-2" w:leftChars="-1" w:firstLine="480"/>
        <w:rPr>
          <w:rFonts w:hint="eastAsia"/>
          <w:lang w:val="en-US"/>
        </w:rPr>
      </w:pPr>
      <w:r>
        <w:rPr>
          <w:lang w:val="en-US"/>
        </w:rPr>
        <w:t>平江县（</w:t>
      </w:r>
      <w:r>
        <w:rPr>
          <w:rFonts w:hint="eastAsia"/>
          <w:lang w:val="en-US"/>
        </w:rPr>
        <w:t>9</w:t>
      </w:r>
      <w:r>
        <w:rPr>
          <w:lang w:val="en-US"/>
        </w:rPr>
        <w:t>台）：按“东南西北中”五个方向划分作业区域，每台无人机负责一个区域，重点监测陡峭山区和密林区域，与北斗手持巡护终端形成“空地协同”。</w:t>
      </w:r>
    </w:p>
    <w:p w14:paraId="75B7D996">
      <w:pPr>
        <w:ind w:left="-2" w:leftChars="-1" w:firstLine="480"/>
        <w:rPr>
          <w:rFonts w:hint="eastAsia"/>
          <w:lang w:val="en-US"/>
        </w:rPr>
      </w:pPr>
      <w:r>
        <w:rPr>
          <w:lang w:val="en-US"/>
        </w:rPr>
        <w:t>岳阳市本级（</w:t>
      </w:r>
      <w:r>
        <w:rPr>
          <w:rFonts w:hint="eastAsia"/>
          <w:lang w:val="en-US"/>
        </w:rPr>
        <w:t>12</w:t>
      </w:r>
      <w:r>
        <w:rPr>
          <w:lang w:val="en-US"/>
        </w:rPr>
        <w:t>台）：负责城市周边林地辅助侦察，重点监测城市周边火险隐患，与Ⅰ型无人机形成“高低搭配”。</w:t>
      </w:r>
    </w:p>
    <w:p w14:paraId="75B7D997">
      <w:pPr>
        <w:ind w:left="-2" w:leftChars="-1" w:firstLine="480"/>
        <w:rPr>
          <w:rFonts w:hint="eastAsia"/>
          <w:lang w:val="en-US"/>
        </w:rPr>
      </w:pPr>
      <w:r>
        <w:rPr>
          <w:lang w:val="en-US"/>
        </w:rPr>
        <w:t>岳阳县（</w:t>
      </w:r>
      <w:r>
        <w:rPr>
          <w:rFonts w:hint="eastAsia"/>
          <w:lang w:val="en-US"/>
        </w:rPr>
        <w:t>2</w:t>
      </w:r>
      <w:r>
        <w:rPr>
          <w:lang w:val="en-US"/>
        </w:rPr>
        <w:t>台）：负责湿地与林地交界区域辅助侦察，重点监测湿地周边火险隐患，与地面护林员形成“空地协同”。</w:t>
      </w:r>
    </w:p>
    <w:p w14:paraId="75B7D998">
      <w:pPr>
        <w:ind w:left="-2" w:leftChars="-1" w:firstLine="480"/>
        <w:rPr>
          <w:rFonts w:hint="eastAsia"/>
          <w:lang w:val="en-US"/>
        </w:rPr>
      </w:pPr>
      <w:r>
        <w:rPr>
          <w:lang w:val="en-US"/>
        </w:rPr>
        <w:t>临湘市（</w:t>
      </w:r>
      <w:r>
        <w:rPr>
          <w:rFonts w:hint="eastAsia"/>
          <w:lang w:val="en-US"/>
        </w:rPr>
        <w:t>2</w:t>
      </w:r>
      <w:r>
        <w:rPr>
          <w:lang w:val="en-US"/>
        </w:rPr>
        <w:t>台）：负责边界林区辅助侦察，重点监测与湖北交界的火险隐患，与邻省护林员形成联动。</w:t>
      </w:r>
    </w:p>
    <w:p w14:paraId="75B7D999">
      <w:pPr>
        <w:ind w:left="-2" w:leftChars="-1" w:firstLine="480"/>
        <w:rPr>
          <w:rFonts w:hint="eastAsia"/>
          <w:lang w:val="en-US"/>
        </w:rPr>
      </w:pPr>
      <w:r>
        <w:rPr>
          <w:lang w:val="en-US"/>
        </w:rPr>
        <w:t>汨罗市（2台）：负责平原林区辅助侦察，重点监测祭祀用火、农事用火等人为火源，与地面护林员形成“空地协同”。</w:t>
      </w:r>
    </w:p>
    <w:p w14:paraId="75B7D99A">
      <w:pPr>
        <w:ind w:left="-2" w:leftChars="-1" w:firstLine="480"/>
        <w:rPr>
          <w:rFonts w:hint="eastAsia"/>
          <w:lang w:val="en-US"/>
        </w:rPr>
      </w:pPr>
      <w:r>
        <w:rPr>
          <w:lang w:val="en-US"/>
        </w:rPr>
        <w:t>云溪区（2台）：负责化工园区周边辅助侦察，重点监测化工园区周边火险隐患，与地面护林员形成“空地协同”。</w:t>
      </w:r>
    </w:p>
    <w:p w14:paraId="75B7D99B">
      <w:pPr>
        <w:ind w:left="-2" w:leftChars="-1" w:firstLine="480"/>
        <w:rPr>
          <w:rFonts w:hint="eastAsia"/>
          <w:lang w:val="en-US"/>
        </w:rPr>
      </w:pPr>
      <w:r>
        <w:rPr>
          <w:lang w:val="en-US"/>
        </w:rPr>
        <w:t>芦头林场（</w:t>
      </w:r>
      <w:r>
        <w:rPr>
          <w:rFonts w:hint="eastAsia"/>
          <w:lang w:val="en-US"/>
        </w:rPr>
        <w:t>0</w:t>
      </w:r>
      <w:r>
        <w:rPr>
          <w:lang w:val="en-US"/>
        </w:rPr>
        <w:t>台）：芦头林场作为国有林场，建立了完善的地面巡护体系，配备了专业的护林员队伍和北斗手持巡护终端，可覆盖大部分林区。芦头林场地形相对平坦，密林区域较少，徒步巡护可到达大部分区域，小型无人机的“辅助侦察”需求较低</w:t>
      </w:r>
      <w:r>
        <w:rPr>
          <w:rFonts w:hint="eastAsia"/>
          <w:lang w:val="en-US"/>
        </w:rPr>
        <w:t>。</w:t>
      </w:r>
    </w:p>
    <w:p w14:paraId="75B7D99C">
      <w:pPr>
        <w:ind w:left="-2" w:leftChars="-1" w:firstLine="480"/>
        <w:rPr>
          <w:rFonts w:hint="eastAsia"/>
          <w:lang w:val="en-US"/>
        </w:rPr>
      </w:pPr>
      <w:r>
        <w:rPr>
          <w:rFonts w:hint="eastAsia"/>
          <w:lang w:val="en-US"/>
        </w:rPr>
        <w:t>5）34套自主巡护无人机机场：自主巡护无人机机场</w:t>
      </w:r>
      <w:r>
        <w:rPr>
          <w:rFonts w:hint="eastAsia"/>
        </w:rPr>
        <w:t>为无人机提供起降和存储场所，此外，配备差分基站、一体化环境传感器等，辅助无人机进行无人化安全作业和管理</w:t>
      </w:r>
      <w:r>
        <w:rPr>
          <w:lang w:val="en-US"/>
        </w:rPr>
        <w:t>。</w:t>
      </w:r>
    </w:p>
    <w:p w14:paraId="75B7D99D">
      <w:pPr>
        <w:ind w:left="-2" w:leftChars="-1" w:firstLine="480"/>
        <w:rPr>
          <w:rFonts w:hint="eastAsia"/>
          <w:lang w:val="en-US"/>
        </w:rPr>
      </w:pPr>
      <w:r>
        <w:rPr>
          <w:lang w:val="en-US"/>
        </w:rPr>
        <w:t>区域分布：</w:t>
      </w:r>
    </w:p>
    <w:p w14:paraId="75B7D99E">
      <w:pPr>
        <w:ind w:left="-2" w:leftChars="-1" w:firstLine="480"/>
        <w:rPr>
          <w:rFonts w:hint="eastAsia"/>
          <w:lang w:val="en-US"/>
        </w:rPr>
      </w:pPr>
      <w:r>
        <w:rPr>
          <w:lang w:val="en-US"/>
        </w:rPr>
        <w:t>岳阳市本级（6套）：覆盖岳阳楼区湖滨街道（市委党校）、求索街道（金鄂山）等6个重点区域，强化城市周边林区监测。</w:t>
      </w:r>
    </w:p>
    <w:p w14:paraId="75B7D99F">
      <w:pPr>
        <w:ind w:left="-2" w:leftChars="-1" w:firstLine="480"/>
        <w:rPr>
          <w:rFonts w:hint="eastAsia"/>
          <w:lang w:val="en-US"/>
        </w:rPr>
      </w:pPr>
      <w:r>
        <w:rPr>
          <w:lang w:val="en-US"/>
        </w:rPr>
        <w:t>平江县（7套）：布局瓮江镇大背村、南江镇幕阜山一峰尖等7处，重点覆盖山地密林与偏远林区。</w:t>
      </w:r>
    </w:p>
    <w:p w14:paraId="75B7D9A0">
      <w:pPr>
        <w:ind w:left="-2" w:leftChars="-1" w:firstLine="480"/>
        <w:rPr>
          <w:rFonts w:hint="eastAsia"/>
          <w:lang w:val="en-US"/>
        </w:rPr>
      </w:pPr>
      <w:r>
        <w:rPr>
          <w:lang w:val="en-US"/>
        </w:rPr>
        <w:t>芦头林场（4套）：集中于加义镇芦头林科、纯溪小镇等核心保护区，实现生态敏感区精准防控。</w:t>
      </w:r>
    </w:p>
    <w:p w14:paraId="75B7D9A1">
      <w:pPr>
        <w:ind w:left="-2" w:leftChars="-1" w:firstLine="480"/>
        <w:rPr>
          <w:rFonts w:hint="eastAsia"/>
          <w:lang w:val="en-US"/>
        </w:rPr>
      </w:pPr>
      <w:r>
        <w:rPr>
          <w:lang w:val="en-US"/>
        </w:rPr>
        <w:t>岳阳县（6套）：布点新开镇张家冲、毛田镇大云山等6地，覆盖湿地交界与高火险山区。</w:t>
      </w:r>
    </w:p>
    <w:p w14:paraId="75B7D9A2">
      <w:pPr>
        <w:ind w:left="-2" w:leftChars="-1" w:firstLine="480"/>
        <w:rPr>
          <w:rFonts w:hint="eastAsia"/>
          <w:lang w:val="en-US"/>
        </w:rPr>
      </w:pPr>
      <w:r>
        <w:rPr>
          <w:lang w:val="en-US"/>
        </w:rPr>
        <w:t>临湘市（7套）：涵盖聂市镇民主村、羊楼司镇龙窖山村等边界区域，强化跨省联防能力。</w:t>
      </w:r>
    </w:p>
    <w:p w14:paraId="75B7D9A3">
      <w:pPr>
        <w:ind w:left="-2" w:leftChars="-1" w:firstLine="480"/>
        <w:rPr>
          <w:rFonts w:hint="eastAsia"/>
          <w:lang w:val="en-US"/>
        </w:rPr>
      </w:pPr>
      <w:r>
        <w:rPr>
          <w:lang w:val="en-US"/>
        </w:rPr>
        <w:t>汨罗市（3套）：聚焦川山坪镇玉池山、桃林寺镇林场等平原林区，辅助人为火源监测。</w:t>
      </w:r>
    </w:p>
    <w:p w14:paraId="75B7D9A4">
      <w:pPr>
        <w:ind w:left="-2" w:leftChars="-1" w:firstLine="480"/>
        <w:rPr>
          <w:rFonts w:hint="eastAsia"/>
          <w:lang w:val="en-US"/>
        </w:rPr>
      </w:pPr>
      <w:r>
        <w:rPr>
          <w:lang w:val="en-US"/>
        </w:rPr>
        <w:t>云溪区（1套）：设于云溪街道双花村，重点监测化工园区周边火险隐患。</w:t>
      </w:r>
    </w:p>
    <w:p w14:paraId="75B7D9A5">
      <w:pPr>
        <w:ind w:left="-2" w:leftChars="-1" w:firstLine="482"/>
        <w:rPr>
          <w:rFonts w:hint="eastAsia"/>
          <w:b/>
          <w:bCs/>
          <w:lang w:val="en-US"/>
        </w:rPr>
      </w:pPr>
      <w:r>
        <w:rPr>
          <w:b/>
          <w:bCs/>
          <w:lang w:val="en-US"/>
        </w:rPr>
        <w:t>智能数据处理：</w:t>
      </w:r>
    </w:p>
    <w:p w14:paraId="75B7D9A6">
      <w:pPr>
        <w:ind w:left="-2" w:leftChars="-1" w:firstLine="480"/>
        <w:rPr>
          <w:rFonts w:hint="eastAsia"/>
          <w:lang w:val="en-US"/>
        </w:rPr>
      </w:pPr>
      <w:r>
        <w:rPr>
          <w:lang w:val="en-US"/>
        </w:rPr>
        <w:t>无人机采集的视频/图像数据通过AI算法自动识别烟雾、明火，标注火点坐标，并预测火势蔓延方向，同步推送至监测调度子系统。</w:t>
      </w:r>
    </w:p>
    <w:p w14:paraId="75B7D9A7">
      <w:pPr>
        <w:ind w:left="-2" w:leftChars="-1" w:firstLine="482"/>
        <w:rPr>
          <w:rFonts w:hint="eastAsia"/>
          <w:b/>
          <w:bCs/>
          <w:lang w:val="en-US"/>
        </w:rPr>
      </w:pPr>
      <w:r>
        <w:rPr>
          <w:b/>
          <w:bCs/>
          <w:lang w:val="en-US"/>
        </w:rPr>
        <w:t>应急响应联动：</w:t>
      </w:r>
    </w:p>
    <w:p w14:paraId="75B7D9A8">
      <w:pPr>
        <w:ind w:left="-2" w:leftChars="-1" w:firstLine="480"/>
        <w:rPr>
          <w:rFonts w:hint="eastAsia"/>
          <w:lang w:val="en-US"/>
        </w:rPr>
      </w:pPr>
      <w:r>
        <w:rPr>
          <w:lang w:val="en-US"/>
        </w:rPr>
        <w:t>接到火情预警后，无人机机场自动启动应急预案，根据火点位置调度最近的无人机升空，实现“10分钟内响应、30分钟内完成火情侦察”。</w:t>
      </w:r>
    </w:p>
    <w:p w14:paraId="75B7D9A9">
      <w:pPr>
        <w:ind w:left="-2" w:leftChars="-1" w:firstLine="480"/>
        <w:rPr>
          <w:rFonts w:hint="eastAsia"/>
          <w:lang w:val="en-US"/>
        </w:rPr>
      </w:pPr>
      <w:r>
        <w:rPr>
          <w:lang w:val="en-US"/>
        </w:rPr>
        <w:t xml:space="preserve">2. </w:t>
      </w:r>
      <w:r>
        <w:rPr>
          <w:rFonts w:hint="eastAsia"/>
          <w:lang w:val="en-US"/>
        </w:rPr>
        <w:t>形成</w:t>
      </w:r>
      <w:r>
        <w:rPr>
          <w:lang w:val="en-US"/>
        </w:rPr>
        <w:t>全域覆盖与精准感知</w:t>
      </w:r>
      <w:r>
        <w:rPr>
          <w:rFonts w:hint="eastAsia"/>
          <w:lang w:val="en-US"/>
        </w:rPr>
        <w:t>态势</w:t>
      </w:r>
    </w:p>
    <w:p w14:paraId="75B7D9AA">
      <w:pPr>
        <w:ind w:left="-2" w:leftChars="-1" w:firstLine="480"/>
        <w:rPr>
          <w:rFonts w:hint="eastAsia"/>
          <w:lang w:val="en-US"/>
        </w:rPr>
      </w:pPr>
      <w:r>
        <w:rPr>
          <w:lang w:val="en-US"/>
        </w:rPr>
        <w:t>功能定位：构建固定监测网络，实现重点区域24小时不间断监测，与航空监测形成“动静互补”。</w:t>
      </w:r>
    </w:p>
    <w:p w14:paraId="75B7D9AB">
      <w:pPr>
        <w:ind w:left="-2" w:leftChars="-1" w:firstLine="480"/>
        <w:rPr>
          <w:rFonts w:hint="eastAsia"/>
          <w:lang w:val="en-US"/>
        </w:rPr>
      </w:pPr>
      <w:r>
        <w:rPr>
          <w:lang w:val="en-US"/>
        </w:rPr>
        <w:t>核心功能：</w:t>
      </w:r>
    </w:p>
    <w:p w14:paraId="75B7D9AC">
      <w:pPr>
        <w:ind w:left="-2" w:leftChars="-1" w:firstLine="480"/>
        <w:rPr>
          <w:rFonts w:hint="eastAsia"/>
          <w:lang w:val="en-US"/>
        </w:rPr>
      </w:pPr>
      <w:r>
        <w:rPr>
          <w:lang w:val="en-US"/>
        </w:rPr>
        <w:t>多源数据融合：</w:t>
      </w:r>
    </w:p>
    <w:p w14:paraId="75B7D9AD">
      <w:pPr>
        <w:ind w:left="-2" w:leftChars="-1" w:firstLine="480"/>
        <w:rPr>
          <w:rFonts w:hint="eastAsia"/>
          <w:lang w:val="en-US"/>
        </w:rPr>
      </w:pPr>
      <w:r>
        <w:rPr>
          <w:lang w:val="en-US"/>
        </w:rPr>
        <w:t>17台一体化云台摄像机：部署于林区入口、防火通道等关键节点，具备360°旋转、30倍光学变焦功能，配合AI烟火识别算法，实现“烟火即报警”；</w:t>
      </w:r>
    </w:p>
    <w:p w14:paraId="75B7D9AE">
      <w:pPr>
        <w:ind w:left="-2" w:leftChars="-1" w:firstLine="480"/>
        <w:rPr>
          <w:rFonts w:hint="eastAsia"/>
          <w:lang w:val="en-US"/>
        </w:rPr>
      </w:pPr>
      <w:r>
        <w:rPr>
          <w:lang w:val="en-US"/>
        </w:rPr>
        <w:t>9套林火视频监控系统前端+5套中央控制系统：整合存量268处高位监控，实现视频画面统一调度、存储与回放，支持多画面同步显示；</w:t>
      </w:r>
    </w:p>
    <w:p w14:paraId="75B7D9AF">
      <w:pPr>
        <w:ind w:left="-2" w:leftChars="-1" w:firstLine="480"/>
        <w:rPr>
          <w:rFonts w:hint="eastAsia"/>
          <w:lang w:val="en-US"/>
        </w:rPr>
      </w:pPr>
      <w:r>
        <w:rPr>
          <w:lang w:val="en-US"/>
        </w:rPr>
        <w:t>203台北斗手持巡护终端：护林员实时上传巡护位置、现场照片，指挥中心可远程下达调度指令，形成“人巡+技防”闭环。</w:t>
      </w:r>
    </w:p>
    <w:p w14:paraId="75B7D9B0">
      <w:pPr>
        <w:ind w:left="-2" w:leftChars="-1" w:firstLine="480"/>
        <w:rPr>
          <w:rFonts w:hint="eastAsia"/>
          <w:lang w:val="en-US"/>
        </w:rPr>
      </w:pPr>
      <w:r>
        <w:rPr>
          <w:lang w:val="en-US"/>
        </w:rPr>
        <w:t>物理防护补位：新建1座、加固1座瞭望塔，配备高倍望远镜、夜视仪，作为极端天气下（如暴雨、浓雾）的备用监测手段；新建2处林区防火检查卡点，对进入林区人员进行登记、宣传，从源头管控火源。</w:t>
      </w:r>
    </w:p>
    <w:p w14:paraId="75B7D9B1">
      <w:pPr>
        <w:ind w:left="-2" w:leftChars="-1" w:firstLine="480"/>
        <w:rPr>
          <w:rFonts w:hint="eastAsia"/>
          <w:lang w:val="en-US"/>
        </w:rPr>
      </w:pPr>
      <w:r>
        <w:rPr>
          <w:lang w:val="en-US"/>
        </w:rPr>
        <w:t>应急通信保障：141台对讲机实现护林员、瞭望塔、指挥中心之间的语音通信，确保信号覆盖无死角。</w:t>
      </w:r>
    </w:p>
    <w:p w14:paraId="75B7D9B2">
      <w:pPr>
        <w:ind w:left="-2" w:leftChars="-1" w:firstLine="480"/>
        <w:rPr>
          <w:rFonts w:hint="eastAsia"/>
          <w:lang w:val="en-US"/>
        </w:rPr>
      </w:pPr>
      <w:r>
        <w:rPr>
          <w:lang w:val="en-US"/>
        </w:rPr>
        <w:t xml:space="preserve">3. </w:t>
      </w:r>
      <w:r>
        <w:rPr>
          <w:rFonts w:hint="eastAsia"/>
          <w:lang w:val="en-US"/>
        </w:rPr>
        <w:t>打造</w:t>
      </w:r>
      <w:r>
        <w:rPr>
          <w:lang w:val="en-US"/>
        </w:rPr>
        <w:t>数据汇聚与指挥中枢</w:t>
      </w:r>
    </w:p>
    <w:p w14:paraId="75B7D9B3">
      <w:pPr>
        <w:ind w:left="-2" w:leftChars="-1" w:firstLine="480"/>
        <w:rPr>
          <w:rFonts w:hint="eastAsia"/>
          <w:lang w:val="en-US"/>
        </w:rPr>
      </w:pPr>
      <w:r>
        <w:rPr>
          <w:lang w:val="en-US"/>
        </w:rPr>
        <w:t>功能定位：整合空天地监测数据，实现可视化指挥、智能调度与决策支持。</w:t>
      </w:r>
    </w:p>
    <w:p w14:paraId="75B7D9B4">
      <w:pPr>
        <w:ind w:left="-2" w:leftChars="-1" w:firstLine="480"/>
        <w:rPr>
          <w:rFonts w:hint="eastAsia"/>
          <w:lang w:val="en-US"/>
        </w:rPr>
      </w:pPr>
      <w:r>
        <w:rPr>
          <w:lang w:val="en-US"/>
        </w:rPr>
        <w:t>核心功能：</w:t>
      </w:r>
    </w:p>
    <w:p w14:paraId="75B7D9B5">
      <w:pPr>
        <w:ind w:left="-2" w:leftChars="-1" w:firstLine="480"/>
        <w:rPr>
          <w:rFonts w:hint="eastAsia"/>
          <w:lang w:val="en-US"/>
        </w:rPr>
      </w:pPr>
      <w:r>
        <w:rPr>
          <w:lang w:val="en-US"/>
        </w:rPr>
        <w:t>数据存储与管理：1台存储服务器+12块监控级硬盘，满足≥30天的视频数据存储需求，支持按时间、地点、设备类型快速检索；</w:t>
      </w:r>
    </w:p>
    <w:p w14:paraId="75B7D9B6">
      <w:pPr>
        <w:ind w:left="-2" w:leftChars="-1" w:firstLine="480"/>
        <w:rPr>
          <w:rFonts w:hint="eastAsia"/>
          <w:lang w:val="en-US"/>
        </w:rPr>
      </w:pPr>
      <w:r>
        <w:rPr>
          <w:lang w:val="en-US"/>
        </w:rPr>
        <w:t>可视化展示：3处LED全彩显示屏（市局二楼10.04㎡、五楼10.04㎡、林科所3.</w:t>
      </w:r>
      <w:r>
        <w:rPr>
          <w:rFonts w:hint="eastAsia"/>
          <w:lang w:val="en-US"/>
        </w:rPr>
        <w:t>9</w:t>
      </w:r>
      <w:r>
        <w:rPr>
          <w:lang w:val="en-US"/>
        </w:rPr>
        <w:t>㎡）实时显示：</w:t>
      </w:r>
    </w:p>
    <w:p w14:paraId="75B7D9B7">
      <w:pPr>
        <w:ind w:left="-2" w:leftChars="-1" w:firstLine="480"/>
        <w:rPr>
          <w:rFonts w:hint="eastAsia"/>
          <w:lang w:val="en-US"/>
        </w:rPr>
      </w:pPr>
      <w:r>
        <w:rPr>
          <w:lang w:val="en-US"/>
        </w:rPr>
        <w:t>林区全域监测地图，标注火点位置、无人机航线、护林员巡护轨迹；</w:t>
      </w:r>
    </w:p>
    <w:p w14:paraId="75B7D9B8">
      <w:pPr>
        <w:ind w:left="-2" w:leftChars="-1" w:firstLine="480"/>
        <w:rPr>
          <w:rFonts w:hint="eastAsia"/>
          <w:lang w:val="en-US"/>
        </w:rPr>
      </w:pPr>
      <w:r>
        <w:rPr>
          <w:lang w:val="en-US"/>
        </w:rPr>
        <w:t>设备运行状态（如无人机电池电量、摄像机在线率）；</w:t>
      </w:r>
    </w:p>
    <w:p w14:paraId="75B7D9B9">
      <w:pPr>
        <w:ind w:left="-2" w:leftChars="-1" w:firstLine="480"/>
        <w:rPr>
          <w:rFonts w:hint="eastAsia"/>
          <w:lang w:val="en-US"/>
        </w:rPr>
      </w:pPr>
      <w:r>
        <w:rPr>
          <w:lang w:val="en-US"/>
        </w:rPr>
        <w:t>火情预警信息（火点等级、蔓延趋势、处置进度）。</w:t>
      </w:r>
    </w:p>
    <w:p w14:paraId="75B7D9BA">
      <w:pPr>
        <w:ind w:left="-2" w:leftChars="-1" w:firstLine="480"/>
        <w:rPr>
          <w:rFonts w:hint="eastAsia"/>
          <w:lang w:val="en-US"/>
        </w:rPr>
      </w:pPr>
      <w:r>
        <w:rPr>
          <w:lang w:val="en-US"/>
        </w:rPr>
        <w:t>智能调度决策：综合调度系统软件整合气象数据、地形数据、历史火灾案例，自动生成火险等级预报、最优扑火路线规划，为指挥人员提供决策支持；云多点控制单元（MCU）支持跨部门视频会商，实现“指挥中心-现场-后方”实时联动。</w:t>
      </w:r>
    </w:p>
    <w:p w14:paraId="75B7D9BB">
      <w:pPr>
        <w:ind w:left="-2" w:leftChars="-1" w:firstLine="480"/>
        <w:rPr>
          <w:rFonts w:hint="eastAsia"/>
          <w:lang w:val="en-US"/>
        </w:rPr>
      </w:pPr>
      <w:r>
        <w:rPr>
          <w:lang w:val="en-US"/>
        </w:rPr>
        <w:t>二、构建“多网融合”应急通信体系</w:t>
      </w:r>
    </w:p>
    <w:p w14:paraId="75B7D9BC">
      <w:pPr>
        <w:ind w:left="-2" w:leftChars="-1" w:firstLine="480"/>
        <w:rPr>
          <w:rFonts w:hint="eastAsia"/>
          <w:lang w:val="en-US"/>
        </w:rPr>
      </w:pPr>
      <w:r>
        <w:rPr>
          <w:lang w:val="en-US"/>
        </w:rPr>
        <w:t>针对岳阳市山区地形复杂、公网覆盖不足的现状，构建“超短波+短波+卫星+自组网”多网融合的应急通信体系，确保极端情况下通信不中断，实现指挥指令快速下达、现场信息实时回传。</w:t>
      </w:r>
    </w:p>
    <w:p w14:paraId="75B7D9BD">
      <w:pPr>
        <w:ind w:left="-2" w:leftChars="-1" w:firstLine="480"/>
        <w:rPr>
          <w:rFonts w:hint="eastAsia"/>
          <w:lang w:val="en-US"/>
        </w:rPr>
      </w:pPr>
      <w:r>
        <w:rPr>
          <w:lang w:val="en-US"/>
        </w:rPr>
        <w:t>超短波通信作为林区日常通信核心，部署5台套数字超短波固定/移动基站、背负台、车载台及手持台，构建覆盖半径≥5公里的林区内部语音通信网络。基站采用分布式布局，重点覆盖偏远山区、边界林区及湿地周边等公网盲区，实现护林员、瞭望塔与指挥中心之间的语音互通；车载台与背负台随扑火队伍机动部署，确保扑火现场通信稳定；手持台配备至每位一线人员，支持一对一、一对多集群通信，满足日常巡护与应急处置的基础通信需求。</w:t>
      </w:r>
    </w:p>
    <w:p w14:paraId="75B7D9BE">
      <w:pPr>
        <w:ind w:left="-2" w:leftChars="-1" w:firstLine="480"/>
        <w:rPr>
          <w:rFonts w:hint="eastAsia"/>
          <w:lang w:val="en-US"/>
        </w:rPr>
      </w:pPr>
      <w:r>
        <w:rPr>
          <w:lang w:val="en-US"/>
        </w:rPr>
        <w:t>语音自组网采用无中心自组织架构，无需依赖固定基站，可快速搭建临时通信网络。在扑火现场，自组网设备自动形成通信链路，支持多节点互联互通，满足扑火队伍的集群通信需求；自组网设备具备自适应组网能力，可根据现场人员位置动态调整网络拓扑，即使部分节点受损，仍能保持通信链路畅通，确保扑火现场指挥协同高效。</w:t>
      </w:r>
    </w:p>
    <w:p w14:paraId="75B7D9BF">
      <w:pPr>
        <w:ind w:left="-2" w:leftChars="-1" w:firstLine="480"/>
        <w:rPr>
          <w:rFonts w:hint="eastAsia"/>
          <w:lang w:val="en-US"/>
        </w:rPr>
      </w:pPr>
      <w:r>
        <w:rPr>
          <w:lang w:val="en-US"/>
        </w:rPr>
        <w:t>融合调度管理通过调度服务器、融合调度软件与网管软件，实现对所有通信设备的统一管理。系统支持语音、视频、数据的一体化调度，可根据火情等级自动调整通信优先级，确保指挥指令优先传输；网管软件实时监控设备运行状态，自动预警故障并生成运维报告，提升通信系统的可靠性与稳定性；同时，系统支持与监测调度子系统对接，实现通信数据与火情数据的联动分析，为指挥决策提供全面支撑。</w:t>
      </w:r>
    </w:p>
    <w:p w14:paraId="75B7D9C0">
      <w:pPr>
        <w:ind w:left="-2" w:leftChars="-1" w:firstLine="480"/>
        <w:rPr>
          <w:rFonts w:hint="eastAsia"/>
          <w:lang w:val="en-US"/>
        </w:rPr>
      </w:pPr>
      <w:r>
        <w:rPr>
          <w:lang w:val="en-US"/>
        </w:rPr>
        <w:t>三、强化宣传预警与应急处置</w:t>
      </w:r>
    </w:p>
    <w:p w14:paraId="75B7D9C1">
      <w:pPr>
        <w:ind w:left="-2" w:leftChars="-1" w:firstLine="480"/>
        <w:rPr>
          <w:rFonts w:hint="eastAsia"/>
          <w:lang w:val="en-US"/>
        </w:rPr>
      </w:pPr>
      <w:r>
        <w:rPr>
          <w:lang w:val="en-US"/>
        </w:rPr>
        <w:t>围绕“提升公众森林防火意识、实现火情早期预警与疏散引导、辅助消防队伍应急处置”核心目标，构建“宣传+预警+处置”一体化的森林防火综合治理体系，推动森林防火从“事后扑救”向“事前预防、事中管控”转型。</w:t>
      </w:r>
    </w:p>
    <w:p w14:paraId="75B7D9C2">
      <w:pPr>
        <w:ind w:left="-2" w:leftChars="-1" w:firstLine="480"/>
        <w:rPr>
          <w:rFonts w:hint="eastAsia"/>
          <w:lang w:val="en-US"/>
        </w:rPr>
      </w:pPr>
      <w:r>
        <w:rPr>
          <w:lang w:val="en-US"/>
        </w:rPr>
        <w:t>在林区入口、村庄周边、防火通道沿线等重点区域部署529套森林防火视频监控语音宣传杆，实现宣传预警全覆盖。日常状态下，宣传杆循环播放《森林防火条例》、火险等级预警、森林防火常识等内容，通过高频次、广覆盖的宣传，提升公众森林防火意识，从源头减少人为火源引发火灾的风险。宣传内容可根据季节、节假日及火险等级动态调整，如在清明节、中元节等祭祀高峰期，重点宣传文明祭祀、严禁烧纸等内容；在高温干旱时段，强化森林火险橙色、红色预警宣传，提醒公众严禁野外用火。</w:t>
      </w:r>
    </w:p>
    <w:p w14:paraId="75B7D9C3">
      <w:pPr>
        <w:ind w:left="-2" w:leftChars="-1" w:firstLine="480"/>
        <w:rPr>
          <w:rFonts w:hint="eastAsia"/>
          <w:lang w:val="en-US"/>
        </w:rPr>
      </w:pPr>
      <w:r>
        <w:rPr>
          <w:lang w:val="en-US"/>
        </w:rPr>
        <w:t>接到指挥中心火情预警指令后，宣传杆自动触发声光报警，播放疏散通知、火情位置信息及逃生路线指引，引导周边人员快速撤离危险区域；同时，系统同步推送预警信息至附近护林员的北斗手持巡护终端，实现“预警信息同步触达公众与处置队伍”，提升应急疏散与火情处置效率。宣传杆支持远程控制，指挥中心可通过监测调度子系统实时更新宣传内容、调整音量，满足临时管控需求，如在火灾扑救期间，播放现场管制通知，引导无关人员远离火场。</w:t>
      </w:r>
    </w:p>
    <w:p w14:paraId="75B7D9C4">
      <w:pPr>
        <w:ind w:left="-2" w:leftChars="-1" w:firstLine="480"/>
        <w:rPr>
          <w:rFonts w:hint="eastAsia"/>
          <w:lang w:val="en-US"/>
        </w:rPr>
      </w:pPr>
      <w:r>
        <w:rPr>
          <w:lang w:val="en-US"/>
        </w:rPr>
        <w:t>宣传预警系统与航空/地面监测子系统实现深度联动，当航空无人机或地面监控设备发现火情时，系统自动识别火点位置，并触发附近区域的宣传杆启动声光报警，实现“监测-预警-处置”无缝衔接。同时，宣传杆内置的视频监控功能可实时回传现场画面，为指挥中心提供火情发展态势，辅助制定扑火策略；护林员接到预警信息后，可第一时间赶赴现场核实火情，实现火情早发现、早处置，最大限度减少森林资源损失。此外，宣传预警系统还可与当地气象部门联动，实时获取气象数据，结合火险等级自动调整宣传内容与预警级别，提升宣传预警</w:t>
      </w:r>
      <w:r>
        <w:rPr>
          <w:rFonts w:hint="eastAsia"/>
          <w:lang w:val="en-US"/>
        </w:rPr>
        <w:t>能力。</w:t>
      </w:r>
    </w:p>
    <w:p w14:paraId="75B7D9C5">
      <w:pPr>
        <w:pStyle w:val="4"/>
        <w:rPr>
          <w:rFonts w:hint="eastAsia"/>
          <w:lang w:val="en-US"/>
        </w:rPr>
      </w:pPr>
      <w:bookmarkStart w:id="64" w:name="_Toc10743"/>
      <w:r>
        <w:rPr>
          <w:rFonts w:hint="eastAsia"/>
          <w:lang w:val="en-US"/>
        </w:rPr>
        <w:t>业务流程</w:t>
      </w:r>
      <w:bookmarkEnd w:id="64"/>
    </w:p>
    <w:p w14:paraId="75B7D9C6">
      <w:pPr>
        <w:ind w:left="-2" w:leftChars="-1" w:firstLine="480"/>
        <w:rPr>
          <w:rFonts w:hint="eastAsia"/>
          <w:lang w:val="en-US"/>
        </w:rPr>
      </w:pPr>
      <w:r>
        <w:rPr>
          <w:rFonts w:hint="eastAsia"/>
          <w:lang w:val="en-US"/>
        </w:rPr>
        <w:t>项目优化了传统人工巡护流程，实现“监测－预警－处置－评估”智能化闭环。业务流程如下：</w:t>
      </w:r>
    </w:p>
    <w:p w14:paraId="75B7D9C7">
      <w:pPr>
        <w:ind w:left="-2" w:leftChars="-1" w:firstLine="480"/>
        <w:rPr>
          <w:rFonts w:hint="eastAsia"/>
          <w:lang w:val="en-US"/>
        </w:rPr>
      </w:pPr>
      <w:r>
        <w:rPr>
          <w:rFonts w:hint="eastAsia"/>
          <w:lang w:val="en-US"/>
        </w:rPr>
        <w:t>感知层采集：无人机、高清摄像机等设备采集林区数据。</w:t>
      </w:r>
    </w:p>
    <w:p w14:paraId="75B7D9C8">
      <w:pPr>
        <w:ind w:left="-2" w:leftChars="-1" w:firstLine="480"/>
        <w:rPr>
          <w:rFonts w:hint="eastAsia"/>
          <w:lang w:val="en-US"/>
        </w:rPr>
      </w:pPr>
      <w:r>
        <w:rPr>
          <w:rFonts w:hint="eastAsia"/>
          <w:lang w:val="en-US"/>
        </w:rPr>
        <w:t>预警生成：AI智能识别火情，生成告警信息。</w:t>
      </w:r>
    </w:p>
    <w:p w14:paraId="75B7D9C9">
      <w:pPr>
        <w:ind w:left="-2" w:leftChars="-1" w:firstLine="480"/>
        <w:rPr>
          <w:rFonts w:hint="eastAsia"/>
          <w:lang w:val="en-US"/>
        </w:rPr>
      </w:pPr>
      <w:r>
        <w:rPr>
          <w:rFonts w:hint="eastAsia"/>
          <w:lang w:val="en-US"/>
        </w:rPr>
        <w:t>信息发布：告警推送至指挥中心，人工复核后启动响应。</w:t>
      </w:r>
    </w:p>
    <w:p w14:paraId="75B7D9CA">
      <w:pPr>
        <w:ind w:left="-2" w:leftChars="-1" w:firstLine="480"/>
        <w:rPr>
          <w:rFonts w:hint="eastAsia"/>
          <w:lang w:val="en-US"/>
        </w:rPr>
      </w:pPr>
      <w:r>
        <w:rPr>
          <w:rFonts w:hint="eastAsia"/>
          <w:lang w:val="en-US"/>
        </w:rPr>
        <w:t>调度处置：通过综合通信网络调度队伍，无人机抵近核查。</w:t>
      </w:r>
    </w:p>
    <w:p w14:paraId="75B7D9CB">
      <w:pPr>
        <w:ind w:left="-2" w:leftChars="-1" w:firstLine="480"/>
        <w:rPr>
          <w:rFonts w:hint="eastAsia"/>
          <w:lang w:val="en-US"/>
        </w:rPr>
      </w:pPr>
      <w:r>
        <w:rPr>
          <w:rFonts w:hint="eastAsia"/>
          <w:lang w:val="en-US"/>
        </w:rPr>
        <w:t>反馈评估：处置结果反馈，灾后评估生成报告。优化点：通过地空联动缩短响应时间，流程自动化率提升80%，减少人为延误。</w:t>
      </w:r>
    </w:p>
    <w:p w14:paraId="75B7D9CC">
      <w:pPr>
        <w:pStyle w:val="4"/>
        <w:rPr>
          <w:rFonts w:hint="eastAsia"/>
          <w:lang w:val="en-US"/>
        </w:rPr>
      </w:pPr>
      <w:bookmarkStart w:id="65" w:name="_Toc29073"/>
      <w:r>
        <w:rPr>
          <w:rFonts w:hint="eastAsia"/>
          <w:lang w:val="en-US"/>
        </w:rPr>
        <w:t>业务量分析</w:t>
      </w:r>
      <w:bookmarkEnd w:id="65"/>
    </w:p>
    <w:p w14:paraId="75B7D9CD">
      <w:pPr>
        <w:ind w:left="-2" w:leftChars="-1" w:firstLine="480"/>
        <w:rPr>
          <w:rFonts w:hint="eastAsia"/>
          <w:lang w:val="en-US"/>
        </w:rPr>
      </w:pPr>
      <w:r>
        <w:rPr>
          <w:rFonts w:hint="eastAsia"/>
          <w:lang w:val="en-US"/>
        </w:rPr>
        <w:t>日常巡护量：34台无人机日均执行6次巡护，每次20分钟，年产生视频数据约15.76TB。</w:t>
      </w:r>
    </w:p>
    <w:p w14:paraId="75B7D9CE">
      <w:pPr>
        <w:ind w:left="-2" w:leftChars="-1" w:firstLine="480"/>
        <w:rPr>
          <w:rFonts w:hint="eastAsia"/>
          <w:lang w:val="en-US"/>
        </w:rPr>
      </w:pPr>
      <w:r>
        <w:rPr>
          <w:rFonts w:hint="eastAsia"/>
          <w:lang w:val="en-US"/>
        </w:rPr>
        <w:t>火情处理量：基于历史数据，日均告警约50条，年处理火情事件超18,000条。</w:t>
      </w:r>
    </w:p>
    <w:p w14:paraId="75B7D9CF">
      <w:pPr>
        <w:ind w:left="-2" w:leftChars="-1" w:firstLine="480"/>
        <w:rPr>
          <w:rFonts w:hint="eastAsia"/>
          <w:lang w:val="en-US"/>
        </w:rPr>
      </w:pPr>
      <w:r>
        <w:rPr>
          <w:rFonts w:hint="eastAsia"/>
          <w:lang w:val="en-US"/>
        </w:rPr>
        <w:t>视频数据量：26路监控视频年存储量144.61TB，总存储需求176.51TB（含冗余）。</w:t>
      </w:r>
    </w:p>
    <w:p w14:paraId="75B7D9D0">
      <w:pPr>
        <w:pStyle w:val="3"/>
        <w:rPr>
          <w:lang w:val="en-US"/>
        </w:rPr>
      </w:pPr>
      <w:bookmarkStart w:id="66" w:name="_Toc13712"/>
      <w:bookmarkStart w:id="67" w:name="_Toc10717"/>
      <w:r>
        <w:rPr>
          <w:rFonts w:hint="eastAsia"/>
          <w:lang w:val="en-US"/>
        </w:rPr>
        <w:t>信息量传输量和存储量分析与预测</w:t>
      </w:r>
      <w:bookmarkEnd w:id="66"/>
      <w:bookmarkEnd w:id="67"/>
    </w:p>
    <w:p w14:paraId="75B7D9D1">
      <w:pPr>
        <w:ind w:left="-2" w:leftChars="-1" w:firstLine="480"/>
        <w:rPr>
          <w:rFonts w:hint="eastAsia"/>
          <w:lang w:val="en-US"/>
        </w:rPr>
      </w:pPr>
      <w:bookmarkStart w:id="68" w:name="_Toc5718"/>
      <w:r>
        <w:rPr>
          <w:rFonts w:hint="eastAsia"/>
          <w:lang w:val="en-US"/>
        </w:rPr>
        <w:t>一、存储资源需求分析</w:t>
      </w:r>
    </w:p>
    <w:p w14:paraId="75B7D9D2">
      <w:pPr>
        <w:ind w:left="-2" w:leftChars="-1" w:firstLine="480"/>
        <w:rPr>
          <w:rFonts w:hint="eastAsia"/>
          <w:lang w:val="en-US"/>
        </w:rPr>
      </w:pPr>
      <w:r>
        <w:rPr>
          <w:rFonts w:hint="eastAsia"/>
          <w:lang w:val="en-US"/>
        </w:rPr>
        <w:t>存储资源需求需按照实际项目中接入的设备路数及存储规则进行估算，以26路热成像双光谱设备、34台巡护无人机回传视频、268路存量视频监控设备进行存储资源需求估算。主要分为视频存储和报警事件存储。</w:t>
      </w:r>
    </w:p>
    <w:p w14:paraId="75B7D9D3">
      <w:pPr>
        <w:ind w:left="-2" w:leftChars="-1" w:firstLine="480"/>
        <w:rPr>
          <w:rFonts w:hint="eastAsia"/>
          <w:lang w:val="en-US"/>
        </w:rPr>
      </w:pPr>
      <w:r>
        <w:rPr>
          <w:rFonts w:hint="eastAsia"/>
          <w:lang w:val="en-US"/>
        </w:rPr>
        <w:t>二、新增视频监控存储计算</w:t>
      </w:r>
    </w:p>
    <w:p w14:paraId="75B7D9D4">
      <w:pPr>
        <w:ind w:left="-2" w:leftChars="-1" w:firstLine="480"/>
        <w:rPr>
          <w:rFonts w:hint="eastAsia"/>
          <w:lang w:val="en-US"/>
        </w:rPr>
      </w:pPr>
      <w:r>
        <w:rPr>
          <w:rFonts w:hint="eastAsia"/>
          <w:lang w:val="en-US"/>
        </w:rPr>
        <w:t>与26路热成像双光谱设备直连，存储周期为90天。可见光视频按照400万像素、H.265编码格式采集，每路视频码流按照4Mbps/秒计算；热成像视频按照2Mbps/秒计算，则视频存储容量计算如下：26路×（4Mbps+2Mbps）×3600s×24h×90天/8/1024/1024≈144.61TB。</w:t>
      </w:r>
    </w:p>
    <w:p w14:paraId="75B7D9D5">
      <w:pPr>
        <w:ind w:left="-2" w:leftChars="-1" w:firstLine="480"/>
        <w:rPr>
          <w:rFonts w:hint="eastAsia"/>
          <w:lang w:val="en-US"/>
        </w:rPr>
      </w:pPr>
      <w:r>
        <w:rPr>
          <w:rFonts w:hint="eastAsia"/>
          <w:lang w:val="en-US"/>
        </w:rPr>
        <w:t>三、新增无人机及存量视频监控存储计算</w:t>
      </w:r>
    </w:p>
    <w:p w14:paraId="75B7D9D6">
      <w:pPr>
        <w:ind w:left="-2" w:leftChars="-1" w:firstLine="480"/>
        <w:rPr>
          <w:rFonts w:hint="eastAsia"/>
          <w:lang w:val="en-US"/>
        </w:rPr>
      </w:pPr>
      <w:r>
        <w:rPr>
          <w:rFonts w:hint="eastAsia"/>
          <w:lang w:val="en-US"/>
        </w:rPr>
        <w:t>34台无人机视频存储，按照每路视频码流按照6Mbps/秒计算，按每天6趟巡查任务，每次20分钟测算，则视频存储容量计算如下：34路×6Mbps×3600s×2h×90天/8/1024/1024≈15.76TB。</w:t>
      </w:r>
    </w:p>
    <w:p w14:paraId="75B7D9D7">
      <w:pPr>
        <w:ind w:left="-2" w:leftChars="-1" w:firstLine="480"/>
        <w:rPr>
          <w:rFonts w:hint="eastAsia"/>
          <w:lang w:val="en-US"/>
        </w:rPr>
      </w:pPr>
      <w:r>
        <w:rPr>
          <w:rFonts w:hint="eastAsia"/>
          <w:lang w:val="en-US"/>
        </w:rPr>
        <w:t>其余62台无人机是遥控器手飞无人机，采用无人机配备存储卡进行无人机飞行视频、图片存储。</w:t>
      </w:r>
    </w:p>
    <w:p w14:paraId="75B7D9D8">
      <w:pPr>
        <w:ind w:left="-2" w:leftChars="-1" w:firstLine="480"/>
        <w:rPr>
          <w:rFonts w:hint="eastAsia"/>
          <w:lang w:val="en-US"/>
        </w:rPr>
      </w:pPr>
      <w:r>
        <w:rPr>
          <w:rFonts w:hint="eastAsia"/>
          <w:lang w:val="en-US"/>
        </w:rPr>
        <w:t>268存量视频监控存储：存储周期为30天。可见光视频按照400万像素、H.265编码格式采集，每路视频码流按照4Mbps/秒计算；则视频存储容量计算如下：268路×4Mbps×3600s×24h×30天/8/1024/1024≈331.24TB。</w:t>
      </w:r>
    </w:p>
    <w:p w14:paraId="75B7D9D9">
      <w:pPr>
        <w:ind w:left="-2" w:leftChars="-1" w:firstLine="480"/>
        <w:rPr>
          <w:rFonts w:hint="eastAsia"/>
          <w:lang w:val="en-US"/>
        </w:rPr>
      </w:pPr>
      <w:r>
        <w:rPr>
          <w:rFonts w:hint="eastAsia"/>
          <w:lang w:val="en-US"/>
        </w:rPr>
        <w:t>三、报警事件存储计算</w:t>
      </w:r>
    </w:p>
    <w:p w14:paraId="75B7D9DA">
      <w:pPr>
        <w:ind w:left="-2" w:leftChars="-1" w:firstLine="480"/>
        <w:rPr>
          <w:rFonts w:hint="eastAsia"/>
          <w:lang w:val="en-US"/>
        </w:rPr>
      </w:pPr>
      <w:r>
        <w:rPr>
          <w:rFonts w:hint="eastAsia"/>
          <w:lang w:val="en-US"/>
        </w:rPr>
        <w:t>前端智能分析的报警事件，按照保存3张抓拍图片和1分钟视频片段规则进行存储，存储周期为1年。1张抓拍图片约1MB，1分钟视频片段约30MB，按照每天产生报警信息500条，则报警数据存储量计算如下：500条×（30+3）MB×365天/1024/1024≈5.74TB。</w:t>
      </w:r>
    </w:p>
    <w:p w14:paraId="75B7D9DB">
      <w:pPr>
        <w:ind w:left="-2" w:leftChars="-1" w:firstLine="480"/>
        <w:rPr>
          <w:rFonts w:hint="eastAsia"/>
          <w:lang w:val="en-US"/>
        </w:rPr>
      </w:pPr>
      <w:r>
        <w:rPr>
          <w:rFonts w:hint="eastAsia"/>
          <w:lang w:val="en-US"/>
        </w:rPr>
        <w:t>四、存储需求容量计算</w:t>
      </w:r>
    </w:p>
    <w:p w14:paraId="75B7D9DC">
      <w:pPr>
        <w:ind w:left="-2" w:leftChars="-1" w:firstLine="480"/>
        <w:rPr>
          <w:rFonts w:hint="eastAsia"/>
          <w:lang w:val="en-US"/>
        </w:rPr>
      </w:pPr>
      <w:r>
        <w:rPr>
          <w:rFonts w:hint="eastAsia"/>
          <w:lang w:val="en-US"/>
        </w:rPr>
        <w:t>1、新增视频监控存储容量计算</w:t>
      </w:r>
    </w:p>
    <w:p w14:paraId="75B7D9DD">
      <w:pPr>
        <w:ind w:left="-2" w:leftChars="-1" w:firstLine="480"/>
        <w:rPr>
          <w:rFonts w:hint="eastAsia"/>
          <w:lang w:val="en-US"/>
        </w:rPr>
      </w:pPr>
      <w:r>
        <w:rPr>
          <w:rFonts w:hint="eastAsia"/>
          <w:lang w:val="en-US"/>
        </w:rPr>
        <w:t>按照26路视频监控规模建设，存储需求容量为144.61TB。结合不同存储硬盘规格和存储方式按需配置存储资源。视频监控系统中，采用循环覆盖存储模式，需要预留一定的空间进行数据的覆盖删除。同时为了保证系统的可靠性，即部分硬盘或设备故障时，业务不中断，存储周期不受影响，也需要预留一部分空间，用于接替故障设备恢复期间的数据存储。因此，建议在项目设计中，规划适当的冗余空间，一般采用20%—30%作为系统预备容量，本次设计采用20%的冗余空间设计。共计需要144.61*1.2≈173.53TB。</w:t>
      </w:r>
    </w:p>
    <w:p w14:paraId="75B7D9DE">
      <w:pPr>
        <w:ind w:left="-2" w:leftChars="-1" w:firstLine="480"/>
        <w:rPr>
          <w:rFonts w:hint="eastAsia"/>
          <w:lang w:val="en-US"/>
        </w:rPr>
      </w:pPr>
      <w:r>
        <w:rPr>
          <w:rFonts w:hint="eastAsia"/>
          <w:lang w:val="en-US"/>
        </w:rPr>
        <w:t>2、新增无人机及存量视频监控存储容量计算</w:t>
      </w:r>
    </w:p>
    <w:p w14:paraId="75B7D9DF">
      <w:pPr>
        <w:ind w:left="-2" w:leftChars="-1" w:firstLine="480"/>
        <w:rPr>
          <w:rFonts w:hint="eastAsia"/>
          <w:lang w:val="en-US"/>
        </w:rPr>
      </w:pPr>
      <w:r>
        <w:rPr>
          <w:rFonts w:hint="eastAsia"/>
          <w:lang w:val="en-US"/>
        </w:rPr>
        <w:t>新增无人机、存量视频监控及报警事件采用云平台对象存储方式，存储容量需求共计15.76+331.24+5.74=352.74TB,</w:t>
      </w:r>
      <w:r>
        <w:rPr>
          <w:rFonts w:hint="eastAsia"/>
        </w:rPr>
        <w:t xml:space="preserve"> </w:t>
      </w:r>
      <w:r>
        <w:rPr>
          <w:rFonts w:hint="eastAsia"/>
          <w:lang w:val="en-US"/>
        </w:rPr>
        <w:t>本次设计采用20%的冗余空间设计。共计需要352.74*1.2=423.288TB。</w:t>
      </w:r>
    </w:p>
    <w:p w14:paraId="75B7D9E0">
      <w:pPr>
        <w:pStyle w:val="3"/>
        <w:rPr>
          <w:lang w:val="en-US"/>
        </w:rPr>
      </w:pPr>
      <w:bookmarkStart w:id="69" w:name="_Toc17947"/>
      <w:r>
        <w:rPr>
          <w:rFonts w:hint="eastAsia"/>
          <w:lang w:val="en-US"/>
        </w:rPr>
        <w:t>数据结构与信息资源共享需求分析</w:t>
      </w:r>
      <w:bookmarkEnd w:id="68"/>
      <w:bookmarkEnd w:id="69"/>
    </w:p>
    <w:p w14:paraId="75B7D9E1">
      <w:pPr>
        <w:pStyle w:val="4"/>
        <w:rPr>
          <w:rFonts w:hint="eastAsia"/>
          <w:lang w:val="en-US"/>
        </w:rPr>
      </w:pPr>
      <w:bookmarkStart w:id="70" w:name="_Toc2730"/>
      <w:bookmarkStart w:id="71" w:name="_Toc23864"/>
      <w:r>
        <w:rPr>
          <w:rFonts w:hint="eastAsia"/>
          <w:lang w:val="en-US"/>
        </w:rPr>
        <w:t>本项目相关系统的数据结构</w:t>
      </w:r>
      <w:bookmarkEnd w:id="70"/>
    </w:p>
    <w:p w14:paraId="75B7D9E2">
      <w:pPr>
        <w:ind w:left="-2" w:leftChars="-1" w:firstLine="480"/>
        <w:rPr>
          <w:rFonts w:hint="eastAsia"/>
          <w:lang w:val="en-US"/>
        </w:rPr>
      </w:pPr>
      <w:r>
        <w:rPr>
          <w:rFonts w:hint="eastAsia"/>
          <w:lang w:val="en-US"/>
        </w:rPr>
        <w:t>一、总体数据架构</w:t>
      </w:r>
    </w:p>
    <w:p w14:paraId="75B7D9E3">
      <w:pPr>
        <w:ind w:left="-2" w:leftChars="-1" w:firstLine="480"/>
        <w:rPr>
          <w:rFonts w:hint="eastAsia"/>
          <w:lang w:val="en-US"/>
        </w:rPr>
      </w:pPr>
      <w:r>
        <w:rPr>
          <w:rFonts w:hint="eastAsia"/>
          <w:lang w:val="en-US"/>
        </w:rPr>
        <w:t>本项目相关的数据结构体系，以火情“早发现、早预警、早处置”的核心业务流程为驱动，以时空信息为统一基准，构建了从底层感知到顶层决策的 “四层三域” 数据框架。</w:t>
      </w:r>
    </w:p>
    <w:p w14:paraId="75B7D9E4">
      <w:pPr>
        <w:ind w:left="-2" w:leftChars="-1" w:firstLine="480"/>
        <w:rPr>
          <w:rFonts w:hint="eastAsia"/>
          <w:lang w:val="en-US"/>
        </w:rPr>
      </w:pPr>
      <w:r>
        <w:rPr>
          <w:rFonts w:hint="eastAsia"/>
          <w:lang w:val="en-US"/>
        </w:rPr>
        <w:t>四层：</w:t>
      </w:r>
    </w:p>
    <w:tbl>
      <w:tblPr>
        <w:tblStyle w:val="38"/>
        <w:tblW w:w="5000" w:type="pct"/>
        <w:tblInd w:w="0" w:type="dxa"/>
        <w:tblLayout w:type="autofit"/>
        <w:tblCellMar>
          <w:top w:w="0" w:type="dxa"/>
          <w:left w:w="108" w:type="dxa"/>
          <w:bottom w:w="0" w:type="dxa"/>
          <w:right w:w="108" w:type="dxa"/>
        </w:tblCellMar>
      </w:tblPr>
      <w:tblGrid>
        <w:gridCol w:w="746"/>
        <w:gridCol w:w="746"/>
        <w:gridCol w:w="1925"/>
        <w:gridCol w:w="2950"/>
        <w:gridCol w:w="1939"/>
      </w:tblGrid>
      <w:tr w14:paraId="75B7D9EA">
        <w:tblPrEx>
          <w:tblCellMar>
            <w:top w:w="0" w:type="dxa"/>
            <w:left w:w="108" w:type="dxa"/>
            <w:bottom w:w="0" w:type="dxa"/>
            <w:right w:w="108" w:type="dxa"/>
          </w:tblCellMar>
        </w:tblPrEx>
        <w:trPr>
          <w:trHeight w:val="276" w:hRule="atLeast"/>
        </w:trPr>
        <w:tc>
          <w:tcPr>
            <w:tcW w:w="449" w:type="pct"/>
            <w:tcBorders>
              <w:top w:val="single" w:color="auto" w:sz="4" w:space="0"/>
              <w:left w:val="single" w:color="auto" w:sz="4" w:space="0"/>
              <w:bottom w:val="single" w:color="auto" w:sz="4" w:space="0"/>
              <w:right w:val="single" w:color="auto" w:sz="4" w:space="0"/>
            </w:tcBorders>
            <w:vAlign w:val="center"/>
          </w:tcPr>
          <w:p w14:paraId="75B7D9E5">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层级</w:t>
            </w:r>
          </w:p>
        </w:tc>
        <w:tc>
          <w:tcPr>
            <w:tcW w:w="449" w:type="pct"/>
            <w:tcBorders>
              <w:top w:val="single" w:color="auto" w:sz="4" w:space="0"/>
              <w:left w:val="nil"/>
              <w:bottom w:val="single" w:color="auto" w:sz="4" w:space="0"/>
              <w:right w:val="single" w:color="auto" w:sz="4" w:space="0"/>
            </w:tcBorders>
            <w:vAlign w:val="center"/>
          </w:tcPr>
          <w:p w14:paraId="75B7D9E6">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名称</w:t>
            </w:r>
          </w:p>
        </w:tc>
        <w:tc>
          <w:tcPr>
            <w:tcW w:w="1159" w:type="pct"/>
            <w:tcBorders>
              <w:top w:val="single" w:color="auto" w:sz="4" w:space="0"/>
              <w:left w:val="nil"/>
              <w:bottom w:val="single" w:color="auto" w:sz="4" w:space="0"/>
              <w:right w:val="single" w:color="auto" w:sz="4" w:space="0"/>
            </w:tcBorders>
            <w:vAlign w:val="center"/>
          </w:tcPr>
          <w:p w14:paraId="75B7D9E7">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核心功能</w:t>
            </w:r>
          </w:p>
        </w:tc>
        <w:tc>
          <w:tcPr>
            <w:tcW w:w="1776" w:type="pct"/>
            <w:tcBorders>
              <w:top w:val="single" w:color="auto" w:sz="4" w:space="0"/>
              <w:left w:val="nil"/>
              <w:bottom w:val="single" w:color="auto" w:sz="4" w:space="0"/>
              <w:right w:val="single" w:color="auto" w:sz="4" w:space="0"/>
            </w:tcBorders>
            <w:vAlign w:val="center"/>
          </w:tcPr>
          <w:p w14:paraId="75B7D9E8">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数据构成</w:t>
            </w:r>
          </w:p>
        </w:tc>
        <w:tc>
          <w:tcPr>
            <w:tcW w:w="1168" w:type="pct"/>
            <w:tcBorders>
              <w:top w:val="single" w:color="auto" w:sz="4" w:space="0"/>
              <w:left w:val="nil"/>
              <w:bottom w:val="single" w:color="auto" w:sz="4" w:space="0"/>
              <w:right w:val="single" w:color="auto" w:sz="4" w:space="0"/>
            </w:tcBorders>
            <w:vAlign w:val="center"/>
          </w:tcPr>
          <w:p w14:paraId="75B7D9E9">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关键特征</w:t>
            </w:r>
          </w:p>
        </w:tc>
      </w:tr>
      <w:tr w14:paraId="75B7D9F0">
        <w:tblPrEx>
          <w:tblCellMar>
            <w:top w:w="0" w:type="dxa"/>
            <w:left w:w="108" w:type="dxa"/>
            <w:bottom w:w="0" w:type="dxa"/>
            <w:right w:w="108" w:type="dxa"/>
          </w:tblCellMar>
        </w:tblPrEx>
        <w:trPr>
          <w:trHeight w:val="552" w:hRule="atLeast"/>
        </w:trPr>
        <w:tc>
          <w:tcPr>
            <w:tcW w:w="449" w:type="pct"/>
            <w:tcBorders>
              <w:top w:val="nil"/>
              <w:left w:val="single" w:color="auto" w:sz="4" w:space="0"/>
              <w:bottom w:val="single" w:color="auto" w:sz="4" w:space="0"/>
              <w:right w:val="single" w:color="auto" w:sz="4" w:space="0"/>
            </w:tcBorders>
            <w:vAlign w:val="center"/>
          </w:tcPr>
          <w:p w14:paraId="75B7D9EB">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第一层</w:t>
            </w:r>
          </w:p>
        </w:tc>
        <w:tc>
          <w:tcPr>
            <w:tcW w:w="449" w:type="pct"/>
            <w:tcBorders>
              <w:top w:val="nil"/>
              <w:left w:val="nil"/>
              <w:bottom w:val="single" w:color="auto" w:sz="4" w:space="0"/>
              <w:right w:val="single" w:color="auto" w:sz="4" w:space="0"/>
            </w:tcBorders>
            <w:vAlign w:val="center"/>
          </w:tcPr>
          <w:p w14:paraId="75B7D9EC">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感知采集层</w:t>
            </w:r>
          </w:p>
        </w:tc>
        <w:tc>
          <w:tcPr>
            <w:tcW w:w="1159" w:type="pct"/>
            <w:tcBorders>
              <w:top w:val="nil"/>
              <w:left w:val="nil"/>
              <w:bottom w:val="single" w:color="auto" w:sz="4" w:space="0"/>
              <w:right w:val="single" w:color="auto" w:sz="4" w:space="0"/>
            </w:tcBorders>
            <w:vAlign w:val="center"/>
          </w:tcPr>
          <w:p w14:paraId="75B7D9ED">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多源异构数据实时获取</w:t>
            </w:r>
          </w:p>
        </w:tc>
        <w:tc>
          <w:tcPr>
            <w:tcW w:w="1776" w:type="pct"/>
            <w:tcBorders>
              <w:top w:val="nil"/>
              <w:left w:val="nil"/>
              <w:bottom w:val="single" w:color="auto" w:sz="4" w:space="0"/>
              <w:right w:val="single" w:color="auto" w:sz="4" w:space="0"/>
            </w:tcBorders>
            <w:vAlign w:val="center"/>
          </w:tcPr>
          <w:p w14:paraId="75B7D9EE">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视频码流、传感器读数、卫星热点、无人机数据、巡检上报</w:t>
            </w:r>
          </w:p>
        </w:tc>
        <w:tc>
          <w:tcPr>
            <w:tcW w:w="1168" w:type="pct"/>
            <w:tcBorders>
              <w:top w:val="nil"/>
              <w:left w:val="nil"/>
              <w:bottom w:val="single" w:color="auto" w:sz="4" w:space="0"/>
              <w:right w:val="single" w:color="auto" w:sz="4" w:space="0"/>
            </w:tcBorders>
            <w:vAlign w:val="center"/>
          </w:tcPr>
          <w:p w14:paraId="75B7D9EF">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原始性、海量性、实时性</w:t>
            </w:r>
          </w:p>
        </w:tc>
      </w:tr>
      <w:tr w14:paraId="75B7D9F6">
        <w:tblPrEx>
          <w:tblCellMar>
            <w:top w:w="0" w:type="dxa"/>
            <w:left w:w="108" w:type="dxa"/>
            <w:bottom w:w="0" w:type="dxa"/>
            <w:right w:w="108" w:type="dxa"/>
          </w:tblCellMar>
        </w:tblPrEx>
        <w:trPr>
          <w:trHeight w:val="552" w:hRule="atLeast"/>
        </w:trPr>
        <w:tc>
          <w:tcPr>
            <w:tcW w:w="449" w:type="pct"/>
            <w:tcBorders>
              <w:top w:val="nil"/>
              <w:left w:val="single" w:color="auto" w:sz="4" w:space="0"/>
              <w:bottom w:val="single" w:color="auto" w:sz="4" w:space="0"/>
              <w:right w:val="single" w:color="auto" w:sz="4" w:space="0"/>
            </w:tcBorders>
            <w:vAlign w:val="center"/>
          </w:tcPr>
          <w:p w14:paraId="75B7D9F1">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第二层</w:t>
            </w:r>
          </w:p>
        </w:tc>
        <w:tc>
          <w:tcPr>
            <w:tcW w:w="449" w:type="pct"/>
            <w:tcBorders>
              <w:top w:val="nil"/>
              <w:left w:val="nil"/>
              <w:bottom w:val="single" w:color="auto" w:sz="4" w:space="0"/>
              <w:right w:val="single" w:color="auto" w:sz="4" w:space="0"/>
            </w:tcBorders>
            <w:vAlign w:val="center"/>
          </w:tcPr>
          <w:p w14:paraId="75B7D9F2">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融合治理层</w:t>
            </w:r>
          </w:p>
        </w:tc>
        <w:tc>
          <w:tcPr>
            <w:tcW w:w="1159" w:type="pct"/>
            <w:tcBorders>
              <w:top w:val="nil"/>
              <w:left w:val="nil"/>
              <w:bottom w:val="single" w:color="auto" w:sz="4" w:space="0"/>
              <w:right w:val="single" w:color="auto" w:sz="4" w:space="0"/>
            </w:tcBorders>
            <w:vAlign w:val="center"/>
          </w:tcPr>
          <w:p w14:paraId="75B7D9F3">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数据标准化、结构化与质量管控</w:t>
            </w:r>
          </w:p>
        </w:tc>
        <w:tc>
          <w:tcPr>
            <w:tcW w:w="1776" w:type="pct"/>
            <w:tcBorders>
              <w:top w:val="nil"/>
              <w:left w:val="nil"/>
              <w:bottom w:val="single" w:color="auto" w:sz="4" w:space="0"/>
              <w:right w:val="single" w:color="auto" w:sz="4" w:space="0"/>
            </w:tcBorders>
            <w:vAlign w:val="center"/>
          </w:tcPr>
          <w:p w14:paraId="75B7D9F4">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结构化告警事件、标准化物联数据、清洗后的资源数据、矢量化地理信息</w:t>
            </w:r>
          </w:p>
        </w:tc>
        <w:tc>
          <w:tcPr>
            <w:tcW w:w="1168" w:type="pct"/>
            <w:tcBorders>
              <w:top w:val="nil"/>
              <w:left w:val="nil"/>
              <w:bottom w:val="single" w:color="auto" w:sz="4" w:space="0"/>
              <w:right w:val="single" w:color="auto" w:sz="4" w:space="0"/>
            </w:tcBorders>
            <w:vAlign w:val="center"/>
          </w:tcPr>
          <w:p w14:paraId="75B7D9F5">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标准性、一致性、可信性</w:t>
            </w:r>
          </w:p>
        </w:tc>
      </w:tr>
      <w:tr w14:paraId="75B7D9FC">
        <w:tblPrEx>
          <w:tblCellMar>
            <w:top w:w="0" w:type="dxa"/>
            <w:left w:w="108" w:type="dxa"/>
            <w:bottom w:w="0" w:type="dxa"/>
            <w:right w:w="108" w:type="dxa"/>
          </w:tblCellMar>
        </w:tblPrEx>
        <w:trPr>
          <w:trHeight w:val="552" w:hRule="atLeast"/>
        </w:trPr>
        <w:tc>
          <w:tcPr>
            <w:tcW w:w="449" w:type="pct"/>
            <w:tcBorders>
              <w:top w:val="nil"/>
              <w:left w:val="single" w:color="auto" w:sz="4" w:space="0"/>
              <w:bottom w:val="single" w:color="auto" w:sz="4" w:space="0"/>
              <w:right w:val="single" w:color="auto" w:sz="4" w:space="0"/>
            </w:tcBorders>
            <w:vAlign w:val="center"/>
          </w:tcPr>
          <w:p w14:paraId="75B7D9F7">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第三层</w:t>
            </w:r>
          </w:p>
        </w:tc>
        <w:tc>
          <w:tcPr>
            <w:tcW w:w="449" w:type="pct"/>
            <w:tcBorders>
              <w:top w:val="nil"/>
              <w:left w:val="nil"/>
              <w:bottom w:val="single" w:color="auto" w:sz="4" w:space="0"/>
              <w:right w:val="single" w:color="auto" w:sz="4" w:space="0"/>
            </w:tcBorders>
            <w:vAlign w:val="center"/>
          </w:tcPr>
          <w:p w14:paraId="75B7D9F8">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分析服务层</w:t>
            </w:r>
          </w:p>
        </w:tc>
        <w:tc>
          <w:tcPr>
            <w:tcW w:w="1159" w:type="pct"/>
            <w:tcBorders>
              <w:top w:val="nil"/>
              <w:left w:val="nil"/>
              <w:bottom w:val="single" w:color="auto" w:sz="4" w:space="0"/>
              <w:right w:val="single" w:color="auto" w:sz="4" w:space="0"/>
            </w:tcBorders>
            <w:vAlign w:val="center"/>
          </w:tcPr>
          <w:p w14:paraId="75B7D9F9">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业务逻辑处理与智能分析</w:t>
            </w:r>
          </w:p>
        </w:tc>
        <w:tc>
          <w:tcPr>
            <w:tcW w:w="1776" w:type="pct"/>
            <w:tcBorders>
              <w:top w:val="nil"/>
              <w:left w:val="nil"/>
              <w:bottom w:val="single" w:color="auto" w:sz="4" w:space="0"/>
              <w:right w:val="single" w:color="auto" w:sz="4" w:space="0"/>
            </w:tcBorders>
            <w:vAlign w:val="center"/>
          </w:tcPr>
          <w:p w14:paraId="75B7D9FA">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火场态势图、风险预警模型、蔓延推演结果、资源优化方案、指挥调度指令</w:t>
            </w:r>
          </w:p>
        </w:tc>
        <w:tc>
          <w:tcPr>
            <w:tcW w:w="1168" w:type="pct"/>
            <w:tcBorders>
              <w:top w:val="nil"/>
              <w:left w:val="nil"/>
              <w:bottom w:val="single" w:color="auto" w:sz="4" w:space="0"/>
              <w:right w:val="single" w:color="auto" w:sz="4" w:space="0"/>
            </w:tcBorders>
            <w:vAlign w:val="center"/>
          </w:tcPr>
          <w:p w14:paraId="75B7D9FB">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衍生性、知识性、业务性</w:t>
            </w:r>
          </w:p>
        </w:tc>
      </w:tr>
      <w:tr w14:paraId="75B7DA02">
        <w:tblPrEx>
          <w:tblCellMar>
            <w:top w:w="0" w:type="dxa"/>
            <w:left w:w="108" w:type="dxa"/>
            <w:bottom w:w="0" w:type="dxa"/>
            <w:right w:w="108" w:type="dxa"/>
          </w:tblCellMar>
        </w:tblPrEx>
        <w:trPr>
          <w:trHeight w:val="552" w:hRule="atLeast"/>
        </w:trPr>
        <w:tc>
          <w:tcPr>
            <w:tcW w:w="449" w:type="pct"/>
            <w:tcBorders>
              <w:top w:val="nil"/>
              <w:left w:val="single" w:color="auto" w:sz="4" w:space="0"/>
              <w:bottom w:val="single" w:color="auto" w:sz="4" w:space="0"/>
              <w:right w:val="single" w:color="auto" w:sz="4" w:space="0"/>
            </w:tcBorders>
            <w:vAlign w:val="center"/>
          </w:tcPr>
          <w:p w14:paraId="75B7D9FD">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第四层</w:t>
            </w:r>
          </w:p>
        </w:tc>
        <w:tc>
          <w:tcPr>
            <w:tcW w:w="449" w:type="pct"/>
            <w:tcBorders>
              <w:top w:val="nil"/>
              <w:left w:val="nil"/>
              <w:bottom w:val="single" w:color="auto" w:sz="4" w:space="0"/>
              <w:right w:val="single" w:color="auto" w:sz="4" w:space="0"/>
            </w:tcBorders>
            <w:vAlign w:val="center"/>
          </w:tcPr>
          <w:p w14:paraId="75B7D9FE">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应用决策层</w:t>
            </w:r>
          </w:p>
        </w:tc>
        <w:tc>
          <w:tcPr>
            <w:tcW w:w="1159" w:type="pct"/>
            <w:tcBorders>
              <w:top w:val="nil"/>
              <w:left w:val="nil"/>
              <w:bottom w:val="single" w:color="auto" w:sz="4" w:space="0"/>
              <w:right w:val="single" w:color="auto" w:sz="4" w:space="0"/>
            </w:tcBorders>
            <w:vAlign w:val="center"/>
          </w:tcPr>
          <w:p w14:paraId="75B7D9FF">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面向不同角色的可视化与交互</w:t>
            </w:r>
          </w:p>
        </w:tc>
        <w:tc>
          <w:tcPr>
            <w:tcW w:w="1776" w:type="pct"/>
            <w:tcBorders>
              <w:top w:val="nil"/>
              <w:left w:val="nil"/>
              <w:bottom w:val="single" w:color="auto" w:sz="4" w:space="0"/>
              <w:right w:val="single" w:color="auto" w:sz="4" w:space="0"/>
            </w:tcBorders>
            <w:vAlign w:val="center"/>
          </w:tcPr>
          <w:p w14:paraId="75B7DA00">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综合指挥大屏、移动单兵视图、管理驾驶舱、公众服务信息</w:t>
            </w:r>
          </w:p>
        </w:tc>
        <w:tc>
          <w:tcPr>
            <w:tcW w:w="1168" w:type="pct"/>
            <w:tcBorders>
              <w:top w:val="nil"/>
              <w:left w:val="nil"/>
              <w:bottom w:val="single" w:color="auto" w:sz="4" w:space="0"/>
              <w:right w:val="single" w:color="auto" w:sz="4" w:space="0"/>
            </w:tcBorders>
            <w:vAlign w:val="center"/>
          </w:tcPr>
          <w:p w14:paraId="75B7DA01">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直观性、交互性、场景化</w:t>
            </w:r>
          </w:p>
        </w:tc>
      </w:tr>
    </w:tbl>
    <w:p w14:paraId="75B7DA03">
      <w:pPr>
        <w:ind w:left="-2" w:leftChars="-1" w:firstLine="480"/>
        <w:rPr>
          <w:rFonts w:hint="eastAsia"/>
          <w:lang w:val="en-US"/>
        </w:rPr>
      </w:pPr>
      <w:r>
        <w:rPr>
          <w:rFonts w:hint="eastAsia"/>
          <w:lang w:val="en-US"/>
        </w:rPr>
        <w:t>三域：</w:t>
      </w:r>
    </w:p>
    <w:p w14:paraId="75B7DA04">
      <w:pPr>
        <w:ind w:left="-2" w:leftChars="-1" w:firstLine="480"/>
        <w:rPr>
          <w:rFonts w:hint="eastAsia"/>
          <w:lang w:val="en-US"/>
        </w:rPr>
      </w:pPr>
      <w:r>
        <w:rPr>
          <w:rFonts w:hint="eastAsia"/>
          <w:lang w:val="en-US"/>
        </w:rPr>
        <w:t>1.空间域：以地理信息系统（GIS）为底板，所有数据（如设备点位、火点坐标、资源分布、气象影响范围）均关联空间坐标，实现“一张图”管理。</w:t>
      </w:r>
    </w:p>
    <w:p w14:paraId="75B7DA05">
      <w:pPr>
        <w:ind w:left="-2" w:leftChars="-1" w:firstLine="480"/>
        <w:rPr>
          <w:rFonts w:hint="eastAsia"/>
          <w:lang w:val="en-US"/>
        </w:rPr>
      </w:pPr>
      <w:r>
        <w:rPr>
          <w:rFonts w:hint="eastAsia"/>
          <w:lang w:val="en-US"/>
        </w:rPr>
        <w:t>2.时间域：所有数据均打上高精度时间戳，确保事件序列可追溯（如从烟雾识别到明火扑灭的全过程），支持历史回放与趋势分析。</w:t>
      </w:r>
    </w:p>
    <w:p w14:paraId="75B7DA06">
      <w:pPr>
        <w:ind w:left="-2" w:leftChars="-1" w:firstLine="480"/>
        <w:rPr>
          <w:rFonts w:hint="eastAsia"/>
          <w:lang w:val="en-US"/>
        </w:rPr>
      </w:pPr>
      <w:r>
        <w:rPr>
          <w:rFonts w:hint="eastAsia"/>
          <w:lang w:val="en-US"/>
        </w:rPr>
        <w:t>3.业务域：数据围绕预防、监测、指挥、评估四大业务主线进行组织，确保数据流与业务流深度融合，直接支撑预案启动、力量调度、战评总结等环节。</w:t>
      </w:r>
    </w:p>
    <w:p w14:paraId="75B7DA07">
      <w:pPr>
        <w:ind w:left="-2" w:leftChars="-1" w:firstLine="480"/>
        <w:rPr>
          <w:rFonts w:hint="eastAsia"/>
          <w:lang w:val="en-US"/>
        </w:rPr>
      </w:pPr>
      <w:r>
        <w:rPr>
          <w:rFonts w:hint="eastAsia"/>
          <w:lang w:val="en-US"/>
        </w:rPr>
        <w:t>二、核心数据流与关键数据结构</w:t>
      </w:r>
    </w:p>
    <w:p w14:paraId="75B7DA08">
      <w:pPr>
        <w:ind w:left="-2" w:leftChars="-1" w:firstLine="480"/>
        <w:rPr>
          <w:rFonts w:hint="eastAsia"/>
          <w:lang w:val="en-US"/>
        </w:rPr>
      </w:pPr>
      <w:r>
        <w:rPr>
          <w:rFonts w:hint="eastAsia"/>
          <w:lang w:val="en-US"/>
        </w:rPr>
        <w:t>项目相关的数据流动遵循从感知到应用的闭环，关键在于以下三个核心链条：</w:t>
      </w:r>
    </w:p>
    <w:p w14:paraId="75B7DA09">
      <w:pPr>
        <w:ind w:left="-2" w:leftChars="-1" w:firstLine="480"/>
        <w:rPr>
          <w:rFonts w:hint="eastAsia"/>
          <w:lang w:val="en-US"/>
        </w:rPr>
      </w:pPr>
      <w:r>
        <w:rPr>
          <w:rFonts w:hint="eastAsia"/>
          <w:lang w:val="en-US"/>
        </w:rPr>
        <w:t xml:space="preserve"> 1.“告警－研判－处置”实时指挥链</w:t>
      </w:r>
    </w:p>
    <w:p w14:paraId="75B7DA0A">
      <w:pPr>
        <w:ind w:left="-2" w:leftChars="-1" w:firstLine="480"/>
        <w:rPr>
          <w:rFonts w:hint="eastAsia"/>
          <w:lang w:val="en-US"/>
        </w:rPr>
      </w:pPr>
      <w:r>
        <w:rPr>
          <w:rFonts w:hint="eastAsia"/>
          <w:lang w:val="en-US"/>
        </w:rPr>
        <w:t>数据流：前端智能报警 → 平台告警事件库 → 人工/自动复核 → 生成火情事件 → 触发预案 → 生成调度指令 → 反馈处置状态。</w:t>
      </w:r>
    </w:p>
    <w:p w14:paraId="75B7DA0B">
      <w:pPr>
        <w:ind w:left="-2" w:leftChars="-1" w:firstLine="480"/>
        <w:rPr>
          <w:rFonts w:hint="eastAsia"/>
          <w:lang w:val="en-US"/>
        </w:rPr>
      </w:pPr>
      <w:r>
        <w:rPr>
          <w:rFonts w:hint="eastAsia"/>
          <w:lang w:val="en-US"/>
        </w:rPr>
        <w:t>关键结构：“告警－事件－指令”关联模型。一个火情事件由多条告警验证生成，并关联一系列调度指令和状态反馈，形成完整可审计的处置档案。</w:t>
      </w:r>
    </w:p>
    <w:p w14:paraId="75B7DA0C">
      <w:pPr>
        <w:ind w:left="-2" w:leftChars="-1" w:firstLine="480"/>
        <w:rPr>
          <w:rFonts w:hint="eastAsia"/>
          <w:lang w:val="en-US"/>
        </w:rPr>
      </w:pPr>
      <w:r>
        <w:rPr>
          <w:rFonts w:hint="eastAsia"/>
          <w:lang w:val="en-US"/>
        </w:rPr>
        <w:t xml:space="preserve"> 2.“监测－评估－预警”风险防控链</w:t>
      </w:r>
    </w:p>
    <w:p w14:paraId="75B7DA0D">
      <w:pPr>
        <w:ind w:left="-2" w:leftChars="-1" w:firstLine="480"/>
        <w:rPr>
          <w:rFonts w:hint="eastAsia"/>
          <w:lang w:val="en-US"/>
        </w:rPr>
      </w:pPr>
      <w:r>
        <w:rPr>
          <w:rFonts w:hint="eastAsia"/>
          <w:lang w:val="en-US"/>
        </w:rPr>
        <w:t>数据流：气象+物候+地形数据 → 火险等级模型 → 风险区划图 → 预警信息发布 → 重点目标监测视频流自动关联。</w:t>
      </w:r>
    </w:p>
    <w:p w14:paraId="75B7DA0E">
      <w:pPr>
        <w:ind w:left="-2" w:leftChars="-1" w:firstLine="480"/>
        <w:rPr>
          <w:rFonts w:hint="eastAsia"/>
          <w:lang w:val="en-US"/>
        </w:rPr>
      </w:pPr>
      <w:r>
        <w:rPr>
          <w:rFonts w:hint="eastAsia"/>
          <w:lang w:val="en-US"/>
        </w:rPr>
        <w:t>关键结构：“风险网格－监测资源”索引表。将林区划分为风险网格，每个网格关联负责监测它的视频点位、巡护路线、责任人员，实现风险与防控资源的精准匹配。</w:t>
      </w:r>
    </w:p>
    <w:p w14:paraId="75B7DA0F">
      <w:pPr>
        <w:ind w:left="-2" w:leftChars="-1" w:firstLine="480"/>
        <w:rPr>
          <w:rFonts w:hint="eastAsia"/>
          <w:lang w:val="en-US"/>
        </w:rPr>
      </w:pPr>
      <w:r>
        <w:rPr>
          <w:rFonts w:hint="eastAsia"/>
          <w:lang w:val="en-US"/>
        </w:rPr>
        <w:t>3.“资源－位置－状态”动态管理链</w:t>
      </w:r>
    </w:p>
    <w:p w14:paraId="75B7DA10">
      <w:pPr>
        <w:ind w:left="-2" w:leftChars="-1" w:firstLine="480"/>
        <w:rPr>
          <w:rFonts w:hint="eastAsia"/>
          <w:lang w:val="en-US"/>
        </w:rPr>
      </w:pPr>
      <w:r>
        <w:rPr>
          <w:rFonts w:hint="eastAsia"/>
          <w:lang w:val="en-US"/>
        </w:rPr>
        <w:t>数据流：人员/车辆/装备的实时定位（北斗/GPS） + RFID/物联网状态 → 资源一张图 → 结合火场态势，智能分析资源投送路径与最佳调度方案。</w:t>
      </w:r>
    </w:p>
    <w:p w14:paraId="75B7DA11">
      <w:pPr>
        <w:ind w:left="-2" w:leftChars="-1" w:firstLine="480"/>
        <w:rPr>
          <w:rFonts w:hint="eastAsia"/>
          <w:lang w:val="en-US"/>
        </w:rPr>
      </w:pPr>
      <w:r>
        <w:rPr>
          <w:rFonts w:hint="eastAsia"/>
          <w:lang w:val="en-US"/>
        </w:rPr>
        <w:t>关键结构：“资源实体－动态轨迹－任务日志”三维视图。不仅记录资源静态属性，更持续记录其位置轨迹与执行的任务日志，实现全程动态管理与效能分析。</w:t>
      </w:r>
    </w:p>
    <w:p w14:paraId="75B7DA12">
      <w:pPr>
        <w:ind w:left="-2" w:leftChars="-1" w:firstLine="480"/>
        <w:rPr>
          <w:rFonts w:hint="eastAsia"/>
          <w:lang w:val="en-US"/>
        </w:rPr>
      </w:pPr>
      <w:r>
        <w:rPr>
          <w:rFonts w:hint="eastAsia"/>
          <w:lang w:val="en-US"/>
        </w:rPr>
        <w:t>三、数据结构的核心特点</w:t>
      </w:r>
    </w:p>
    <w:p w14:paraId="75B7DA13">
      <w:pPr>
        <w:ind w:left="-2" w:leftChars="-1" w:firstLine="480"/>
        <w:rPr>
          <w:rFonts w:hint="eastAsia"/>
          <w:lang w:val="en-US"/>
        </w:rPr>
      </w:pPr>
      <w:r>
        <w:rPr>
          <w:rFonts w:hint="eastAsia"/>
          <w:lang w:val="en-US"/>
        </w:rPr>
        <w:t>1.时空基座，万物关联：所有实体（人、车、设备、事件）均以 “（经度，纬度，时间）” 作为其进入数据体系的基础索引，这是实现多源数据融合与时空分析的基石。</w:t>
      </w:r>
    </w:p>
    <w:p w14:paraId="75B7DA14">
      <w:pPr>
        <w:ind w:left="-2" w:leftChars="-1" w:firstLine="480"/>
        <w:rPr>
          <w:rFonts w:hint="eastAsia"/>
          <w:lang w:val="en-US"/>
        </w:rPr>
      </w:pPr>
      <w:r>
        <w:rPr>
          <w:rFonts w:hint="eastAsia"/>
          <w:lang w:val="en-US"/>
        </w:rPr>
        <w:t>2.事件驱动，主线清晰：以 “火情事件” 为贯穿始终的核心数据主线，所有相关的报警、视频、指令、资源、反馈都围绕其ID进行汇聚和关联，确保事态全景一目了然。</w:t>
      </w:r>
    </w:p>
    <w:p w14:paraId="75B7DA15">
      <w:pPr>
        <w:ind w:left="-2" w:leftChars="-1" w:firstLine="480"/>
        <w:rPr>
          <w:rFonts w:hint="eastAsia"/>
          <w:lang w:val="en-US"/>
        </w:rPr>
      </w:pPr>
      <w:r>
        <w:rPr>
          <w:rFonts w:hint="eastAsia"/>
          <w:lang w:val="en-US"/>
        </w:rPr>
        <w:t>3.分级分层，安全高效：数据按 “原始－治理－知识” 分级存储。热数据（实时视频流、告警）使用高性能缓存和时序数据库；温数据（结构化事件、轨迹）使用关系型数据库；冷数据（历史归档视频）采用对象存储。同时，数据严格按安全等级（如L1-L3）进行访问控制和脱敏处理。</w:t>
      </w:r>
    </w:p>
    <w:p w14:paraId="75B7DA16">
      <w:pPr>
        <w:ind w:left="-2" w:leftChars="-1" w:firstLine="480"/>
        <w:rPr>
          <w:rFonts w:hint="eastAsia"/>
          <w:lang w:val="en-US"/>
        </w:rPr>
      </w:pPr>
      <w:r>
        <w:rPr>
          <w:rFonts w:hint="eastAsia"/>
          <w:lang w:val="en-US"/>
        </w:rPr>
        <w:t>4.服务封装，灵活支撑：通过数据服务API对上层应用提供统一数据访问。</w:t>
      </w:r>
    </w:p>
    <w:p w14:paraId="75B7DA17">
      <w:pPr>
        <w:pStyle w:val="4"/>
        <w:rPr>
          <w:rFonts w:hint="eastAsia"/>
          <w:lang w:val="en-US"/>
        </w:rPr>
      </w:pPr>
      <w:bookmarkStart w:id="72" w:name="_Toc30483"/>
      <w:r>
        <w:rPr>
          <w:rFonts w:hint="eastAsia"/>
          <w:lang w:val="en-US"/>
        </w:rPr>
        <w:t>项目数据情况综合说明</w:t>
      </w:r>
      <w:bookmarkEnd w:id="72"/>
    </w:p>
    <w:p w14:paraId="75B7DA18">
      <w:pPr>
        <w:ind w:left="-2" w:leftChars="-1" w:firstLine="480"/>
        <w:rPr>
          <w:rFonts w:hint="eastAsia"/>
          <w:lang w:val="en-US"/>
        </w:rPr>
      </w:pPr>
      <w:r>
        <w:rPr>
          <w:rFonts w:hint="eastAsia"/>
          <w:lang w:val="en-US"/>
        </w:rPr>
        <w:t>一、数据获取情况</w:t>
      </w:r>
    </w:p>
    <w:tbl>
      <w:tblPr>
        <w:tblStyle w:val="38"/>
        <w:tblW w:w="5000" w:type="pct"/>
        <w:tblInd w:w="0" w:type="dxa"/>
        <w:tblLayout w:type="autofit"/>
        <w:tblCellMar>
          <w:top w:w="0" w:type="dxa"/>
          <w:left w:w="108" w:type="dxa"/>
          <w:bottom w:w="0" w:type="dxa"/>
          <w:right w:w="108" w:type="dxa"/>
        </w:tblCellMar>
      </w:tblPr>
      <w:tblGrid>
        <w:gridCol w:w="1189"/>
        <w:gridCol w:w="2183"/>
        <w:gridCol w:w="1827"/>
        <w:gridCol w:w="1267"/>
        <w:gridCol w:w="1840"/>
      </w:tblGrid>
      <w:tr w14:paraId="75B7DA1E">
        <w:tblPrEx>
          <w:tblCellMar>
            <w:top w:w="0" w:type="dxa"/>
            <w:left w:w="108" w:type="dxa"/>
            <w:bottom w:w="0" w:type="dxa"/>
            <w:right w:w="108" w:type="dxa"/>
          </w:tblCellMar>
        </w:tblPrEx>
        <w:trPr>
          <w:trHeight w:val="276" w:hRule="atLeast"/>
          <w:tblHeader/>
        </w:trPr>
        <w:tc>
          <w:tcPr>
            <w:tcW w:w="716" w:type="pct"/>
            <w:tcBorders>
              <w:top w:val="single" w:color="auto" w:sz="4" w:space="0"/>
              <w:left w:val="single" w:color="auto" w:sz="4" w:space="0"/>
              <w:bottom w:val="single" w:color="auto" w:sz="4" w:space="0"/>
              <w:right w:val="single" w:color="auto" w:sz="4" w:space="0"/>
            </w:tcBorders>
            <w:vAlign w:val="center"/>
          </w:tcPr>
          <w:p w14:paraId="75B7DA19">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数据类别</w:t>
            </w:r>
          </w:p>
        </w:tc>
        <w:tc>
          <w:tcPr>
            <w:tcW w:w="1314" w:type="pct"/>
            <w:tcBorders>
              <w:top w:val="single" w:color="auto" w:sz="4" w:space="0"/>
              <w:left w:val="nil"/>
              <w:bottom w:val="single" w:color="auto" w:sz="4" w:space="0"/>
              <w:right w:val="single" w:color="auto" w:sz="4" w:space="0"/>
            </w:tcBorders>
            <w:vAlign w:val="center"/>
          </w:tcPr>
          <w:p w14:paraId="75B7DA1A">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主要数据内容</w:t>
            </w:r>
          </w:p>
        </w:tc>
        <w:tc>
          <w:tcPr>
            <w:tcW w:w="1100" w:type="pct"/>
            <w:tcBorders>
              <w:top w:val="single" w:color="auto" w:sz="4" w:space="0"/>
              <w:left w:val="nil"/>
              <w:bottom w:val="single" w:color="auto" w:sz="4" w:space="0"/>
              <w:right w:val="single" w:color="auto" w:sz="4" w:space="0"/>
            </w:tcBorders>
            <w:vAlign w:val="center"/>
          </w:tcPr>
          <w:p w14:paraId="75B7DA1B">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数据来源（部门/系统）</w:t>
            </w:r>
          </w:p>
        </w:tc>
        <w:tc>
          <w:tcPr>
            <w:tcW w:w="763" w:type="pct"/>
            <w:tcBorders>
              <w:top w:val="single" w:color="auto" w:sz="4" w:space="0"/>
              <w:left w:val="nil"/>
              <w:bottom w:val="single" w:color="auto" w:sz="4" w:space="0"/>
              <w:right w:val="single" w:color="auto" w:sz="4" w:space="0"/>
            </w:tcBorders>
            <w:vAlign w:val="center"/>
          </w:tcPr>
          <w:p w14:paraId="75B7DA1C">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获取方式</w:t>
            </w:r>
          </w:p>
        </w:tc>
        <w:tc>
          <w:tcPr>
            <w:tcW w:w="1107" w:type="pct"/>
            <w:tcBorders>
              <w:top w:val="single" w:color="auto" w:sz="4" w:space="0"/>
              <w:left w:val="nil"/>
              <w:bottom w:val="single" w:color="auto" w:sz="4" w:space="0"/>
              <w:right w:val="single" w:color="auto" w:sz="4" w:space="0"/>
            </w:tcBorders>
            <w:vAlign w:val="center"/>
          </w:tcPr>
          <w:p w14:paraId="75B7DA1D">
            <w:pPr>
              <w:widowControl/>
              <w:autoSpaceDE/>
              <w:autoSpaceDN/>
              <w:spacing w:line="240" w:lineRule="auto"/>
              <w:ind w:firstLine="0" w:firstLineChars="0"/>
              <w:jc w:val="center"/>
              <w:rPr>
                <w:rFonts w:hint="eastAsia" w:ascii="仿宋_GB2312" w:hAnsi="仿宋_GB2312" w:cs="仿宋_GB2312"/>
                <w:b/>
                <w:bCs/>
                <w:sz w:val="21"/>
                <w:szCs w:val="21"/>
                <w:lang w:val="en-US" w:bidi="ar-SA"/>
              </w:rPr>
            </w:pPr>
            <w:r>
              <w:rPr>
                <w:rFonts w:hint="eastAsia" w:ascii="仿宋_GB2312" w:hAnsi="仿宋_GB2312" w:cs="仿宋_GB2312"/>
                <w:b/>
                <w:bCs/>
                <w:sz w:val="21"/>
                <w:szCs w:val="21"/>
                <w:lang w:val="en-US" w:bidi="ar-SA"/>
              </w:rPr>
              <w:t>更新频率</w:t>
            </w:r>
          </w:p>
        </w:tc>
      </w:tr>
      <w:tr w14:paraId="75B7DA24">
        <w:tblPrEx>
          <w:tblCellMar>
            <w:top w:w="0" w:type="dxa"/>
            <w:left w:w="108" w:type="dxa"/>
            <w:bottom w:w="0" w:type="dxa"/>
            <w:right w:w="108" w:type="dxa"/>
          </w:tblCellMar>
        </w:tblPrEx>
        <w:trPr>
          <w:trHeight w:val="1104" w:hRule="atLeast"/>
        </w:trPr>
        <w:tc>
          <w:tcPr>
            <w:tcW w:w="716" w:type="pct"/>
            <w:tcBorders>
              <w:top w:val="nil"/>
              <w:left w:val="single" w:color="auto" w:sz="4" w:space="0"/>
              <w:bottom w:val="single" w:color="auto" w:sz="4" w:space="0"/>
              <w:right w:val="single" w:color="auto" w:sz="4" w:space="0"/>
            </w:tcBorders>
            <w:vAlign w:val="center"/>
          </w:tcPr>
          <w:p w14:paraId="75B7DA1F">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森林资源数据</w:t>
            </w:r>
          </w:p>
        </w:tc>
        <w:tc>
          <w:tcPr>
            <w:tcW w:w="1314" w:type="pct"/>
            <w:tcBorders>
              <w:top w:val="nil"/>
              <w:left w:val="nil"/>
              <w:bottom w:val="single" w:color="auto" w:sz="4" w:space="0"/>
              <w:right w:val="single" w:color="auto" w:sz="4" w:space="0"/>
            </w:tcBorders>
            <w:vAlign w:val="center"/>
          </w:tcPr>
          <w:p w14:paraId="75B7DA20">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林相图（树种、林龄、郁闭度、蓄积量）、林地权属、重点公益林/自然保护区范围。</w:t>
            </w:r>
          </w:p>
        </w:tc>
        <w:tc>
          <w:tcPr>
            <w:tcW w:w="1100" w:type="pct"/>
            <w:tcBorders>
              <w:top w:val="nil"/>
              <w:left w:val="nil"/>
              <w:bottom w:val="single" w:color="auto" w:sz="4" w:space="0"/>
              <w:right w:val="single" w:color="auto" w:sz="4" w:space="0"/>
            </w:tcBorders>
            <w:vAlign w:val="center"/>
          </w:tcPr>
          <w:p w14:paraId="75B7DA21">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市/县林业局/林草局</w:t>
            </w:r>
          </w:p>
        </w:tc>
        <w:tc>
          <w:tcPr>
            <w:tcW w:w="763" w:type="pct"/>
            <w:tcBorders>
              <w:top w:val="nil"/>
              <w:left w:val="nil"/>
              <w:bottom w:val="single" w:color="auto" w:sz="4" w:space="0"/>
              <w:right w:val="single" w:color="auto" w:sz="4" w:space="0"/>
            </w:tcBorders>
            <w:vAlign w:val="center"/>
          </w:tcPr>
          <w:p w14:paraId="75B7DA22">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通过部门间数据共享接口或文件交换获取。</w:t>
            </w:r>
          </w:p>
        </w:tc>
        <w:tc>
          <w:tcPr>
            <w:tcW w:w="1107" w:type="pct"/>
            <w:tcBorders>
              <w:top w:val="nil"/>
              <w:left w:val="nil"/>
              <w:bottom w:val="single" w:color="auto" w:sz="4" w:space="0"/>
              <w:right w:val="single" w:color="auto" w:sz="4" w:space="0"/>
            </w:tcBorders>
            <w:vAlign w:val="center"/>
          </w:tcPr>
          <w:p w14:paraId="75B7DA23">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半静态：根据森林资源调查周期，通常为1—5年更新一次。重大变更（如采伐、造林）需及时同步。</w:t>
            </w:r>
          </w:p>
        </w:tc>
      </w:tr>
      <w:tr w14:paraId="75B7DA2A">
        <w:tblPrEx>
          <w:tblCellMar>
            <w:top w:w="0" w:type="dxa"/>
            <w:left w:w="108" w:type="dxa"/>
            <w:bottom w:w="0" w:type="dxa"/>
            <w:right w:w="108" w:type="dxa"/>
          </w:tblCellMar>
        </w:tblPrEx>
        <w:trPr>
          <w:trHeight w:val="828" w:hRule="atLeast"/>
        </w:trPr>
        <w:tc>
          <w:tcPr>
            <w:tcW w:w="716" w:type="pct"/>
            <w:tcBorders>
              <w:top w:val="nil"/>
              <w:left w:val="single" w:color="auto" w:sz="4" w:space="0"/>
              <w:bottom w:val="single" w:color="auto" w:sz="4" w:space="0"/>
              <w:right w:val="single" w:color="auto" w:sz="4" w:space="0"/>
            </w:tcBorders>
            <w:vAlign w:val="center"/>
          </w:tcPr>
          <w:p w14:paraId="75B7DA25">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气象监测与预报数据</w:t>
            </w:r>
          </w:p>
        </w:tc>
        <w:tc>
          <w:tcPr>
            <w:tcW w:w="1314" w:type="pct"/>
            <w:tcBorders>
              <w:top w:val="nil"/>
              <w:left w:val="nil"/>
              <w:bottom w:val="single" w:color="auto" w:sz="4" w:space="0"/>
              <w:right w:val="single" w:color="auto" w:sz="4" w:space="0"/>
            </w:tcBorders>
            <w:vAlign w:val="center"/>
          </w:tcPr>
          <w:p w14:paraId="75B7DA26">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实时气象站数据（温、湿、风、降水）、雷电定位信息、短期与中长期天气预报、火险气象等级预报。</w:t>
            </w:r>
          </w:p>
        </w:tc>
        <w:tc>
          <w:tcPr>
            <w:tcW w:w="1100" w:type="pct"/>
            <w:tcBorders>
              <w:top w:val="nil"/>
              <w:left w:val="nil"/>
              <w:bottom w:val="single" w:color="auto" w:sz="4" w:space="0"/>
              <w:right w:val="single" w:color="auto" w:sz="4" w:space="0"/>
            </w:tcBorders>
            <w:vAlign w:val="center"/>
          </w:tcPr>
          <w:p w14:paraId="75B7DA27">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市/县气象局</w:t>
            </w:r>
          </w:p>
        </w:tc>
        <w:tc>
          <w:tcPr>
            <w:tcW w:w="763" w:type="pct"/>
            <w:tcBorders>
              <w:top w:val="nil"/>
              <w:left w:val="nil"/>
              <w:bottom w:val="single" w:color="auto" w:sz="4" w:space="0"/>
              <w:right w:val="single" w:color="auto" w:sz="4" w:space="0"/>
            </w:tcBorders>
            <w:vAlign w:val="center"/>
          </w:tcPr>
          <w:p w14:paraId="75B7DA28">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通过专线或数据接口实时/定时获取。</w:t>
            </w:r>
          </w:p>
        </w:tc>
        <w:tc>
          <w:tcPr>
            <w:tcW w:w="1107" w:type="pct"/>
            <w:tcBorders>
              <w:top w:val="nil"/>
              <w:left w:val="nil"/>
              <w:bottom w:val="single" w:color="auto" w:sz="4" w:space="0"/>
              <w:right w:val="single" w:color="auto" w:sz="4" w:space="0"/>
            </w:tcBorders>
            <w:vAlign w:val="center"/>
          </w:tcPr>
          <w:p w14:paraId="75B7DA29">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动态/实时：气象站数据为分钟级更新；雷电数据为秒级推送；火险预报为每日更新。</w:t>
            </w:r>
          </w:p>
        </w:tc>
      </w:tr>
      <w:tr w14:paraId="75B7DA30">
        <w:tblPrEx>
          <w:tblCellMar>
            <w:top w:w="0" w:type="dxa"/>
            <w:left w:w="108" w:type="dxa"/>
            <w:bottom w:w="0" w:type="dxa"/>
            <w:right w:w="108" w:type="dxa"/>
          </w:tblCellMar>
        </w:tblPrEx>
        <w:trPr>
          <w:trHeight w:val="828" w:hRule="atLeast"/>
        </w:trPr>
        <w:tc>
          <w:tcPr>
            <w:tcW w:w="716" w:type="pct"/>
            <w:tcBorders>
              <w:top w:val="nil"/>
              <w:left w:val="single" w:color="auto" w:sz="4" w:space="0"/>
              <w:bottom w:val="single" w:color="auto" w:sz="4" w:space="0"/>
              <w:right w:val="single" w:color="auto" w:sz="4" w:space="0"/>
            </w:tcBorders>
            <w:vAlign w:val="center"/>
          </w:tcPr>
          <w:p w14:paraId="75B7DA2B">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应急资源数据</w:t>
            </w:r>
          </w:p>
        </w:tc>
        <w:tc>
          <w:tcPr>
            <w:tcW w:w="1314" w:type="pct"/>
            <w:tcBorders>
              <w:top w:val="nil"/>
              <w:left w:val="nil"/>
              <w:bottom w:val="single" w:color="auto" w:sz="4" w:space="0"/>
              <w:right w:val="single" w:color="auto" w:sz="4" w:space="0"/>
            </w:tcBorders>
            <w:vAlign w:val="center"/>
          </w:tcPr>
          <w:p w14:paraId="75B7DA2C">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专业/半专业扑火队伍信息、防火物资储备库分布及库存、应急专家库、应急预案。</w:t>
            </w:r>
          </w:p>
        </w:tc>
        <w:tc>
          <w:tcPr>
            <w:tcW w:w="1100" w:type="pct"/>
            <w:tcBorders>
              <w:top w:val="nil"/>
              <w:left w:val="nil"/>
              <w:bottom w:val="single" w:color="auto" w:sz="4" w:space="0"/>
              <w:right w:val="single" w:color="auto" w:sz="4" w:space="0"/>
            </w:tcBorders>
            <w:vAlign w:val="center"/>
          </w:tcPr>
          <w:p w14:paraId="75B7DA2D">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市/县应急管理局、林业局防火办</w:t>
            </w:r>
          </w:p>
        </w:tc>
        <w:tc>
          <w:tcPr>
            <w:tcW w:w="763" w:type="pct"/>
            <w:tcBorders>
              <w:top w:val="nil"/>
              <w:left w:val="nil"/>
              <w:bottom w:val="single" w:color="auto" w:sz="4" w:space="0"/>
              <w:right w:val="single" w:color="auto" w:sz="4" w:space="0"/>
            </w:tcBorders>
            <w:vAlign w:val="center"/>
          </w:tcPr>
          <w:p w14:paraId="75B7DA2E">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通过数据共享平台或人工填报系统定期同步。</w:t>
            </w:r>
          </w:p>
        </w:tc>
        <w:tc>
          <w:tcPr>
            <w:tcW w:w="1107" w:type="pct"/>
            <w:tcBorders>
              <w:top w:val="nil"/>
              <w:left w:val="nil"/>
              <w:bottom w:val="single" w:color="auto" w:sz="4" w:space="0"/>
              <w:right w:val="single" w:color="auto" w:sz="4" w:space="0"/>
            </w:tcBorders>
            <w:vAlign w:val="center"/>
          </w:tcPr>
          <w:p w14:paraId="75B7DA2F">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准实时：队伍人员、物资库存等月度或按需更新；应急预案在修订后立即更新。</w:t>
            </w:r>
          </w:p>
        </w:tc>
      </w:tr>
      <w:tr w14:paraId="75B7DA35">
        <w:tblPrEx>
          <w:tblCellMar>
            <w:top w:w="0" w:type="dxa"/>
            <w:left w:w="108" w:type="dxa"/>
            <w:bottom w:w="0" w:type="dxa"/>
            <w:right w:w="108" w:type="dxa"/>
          </w:tblCellMar>
        </w:tblPrEx>
        <w:trPr>
          <w:trHeight w:val="2208" w:hRule="atLeast"/>
        </w:trPr>
        <w:tc>
          <w:tcPr>
            <w:tcW w:w="716" w:type="pct"/>
            <w:vMerge w:val="restart"/>
            <w:tcBorders>
              <w:top w:val="nil"/>
              <w:left w:val="single" w:color="auto" w:sz="4" w:space="0"/>
              <w:bottom w:val="single" w:color="auto" w:sz="4" w:space="0"/>
              <w:right w:val="single" w:color="auto" w:sz="4" w:space="0"/>
            </w:tcBorders>
            <w:vAlign w:val="center"/>
          </w:tcPr>
          <w:p w14:paraId="75B7DA31">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前端采集设备信息</w:t>
            </w:r>
          </w:p>
        </w:tc>
        <w:tc>
          <w:tcPr>
            <w:tcW w:w="1314" w:type="pct"/>
            <w:tcBorders>
              <w:top w:val="nil"/>
              <w:left w:val="nil"/>
              <w:bottom w:val="single" w:color="auto" w:sz="4" w:space="0"/>
              <w:right w:val="single" w:color="auto" w:sz="4" w:space="0"/>
            </w:tcBorders>
            <w:vAlign w:val="center"/>
          </w:tcPr>
          <w:p w14:paraId="75B7DA32">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1. 高清可见光视频流</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2. 热成像视频流（测温型）</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3. 智能元数据：设备PTZ（俯仰、方位、变倍）实时角度、GPS坐标、焦距</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4. 结构化告警数据：通过前端AI芯片实时生成的烟火识别告警信息包（含时间、像素坐标、告警图片/视频片段、置信度）。</w:t>
            </w:r>
          </w:p>
        </w:tc>
        <w:tc>
          <w:tcPr>
            <w:tcW w:w="1863" w:type="pct"/>
            <w:gridSpan w:val="2"/>
            <w:tcBorders>
              <w:top w:val="single" w:color="auto" w:sz="4" w:space="0"/>
              <w:left w:val="nil"/>
              <w:bottom w:val="single" w:color="auto" w:sz="4" w:space="0"/>
              <w:right w:val="single" w:color="auto" w:sz="4" w:space="0"/>
            </w:tcBorders>
            <w:vAlign w:val="center"/>
          </w:tcPr>
          <w:p w14:paraId="75B7DA33">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云台摄像机采集</w:t>
            </w:r>
          </w:p>
        </w:tc>
        <w:tc>
          <w:tcPr>
            <w:tcW w:w="1107" w:type="pct"/>
            <w:tcBorders>
              <w:top w:val="nil"/>
              <w:left w:val="nil"/>
              <w:bottom w:val="single" w:color="auto" w:sz="4" w:space="0"/>
              <w:right w:val="single" w:color="auto" w:sz="4" w:space="0"/>
            </w:tcBorders>
            <w:vAlign w:val="center"/>
          </w:tcPr>
          <w:p w14:paraId="75B7DA34">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实时连续：视频流与元数据为毫秒级连续产生；告警为事件触发式，秒级上报。</w:t>
            </w:r>
          </w:p>
        </w:tc>
      </w:tr>
      <w:tr w14:paraId="75B7DA3A">
        <w:tblPrEx>
          <w:tblCellMar>
            <w:top w:w="0" w:type="dxa"/>
            <w:left w:w="108" w:type="dxa"/>
            <w:bottom w:w="0" w:type="dxa"/>
            <w:right w:w="108" w:type="dxa"/>
          </w:tblCellMar>
        </w:tblPrEx>
        <w:trPr>
          <w:trHeight w:val="2208" w:hRule="atLeast"/>
        </w:trPr>
        <w:tc>
          <w:tcPr>
            <w:tcW w:w="716" w:type="pct"/>
            <w:vMerge w:val="continue"/>
            <w:tcBorders>
              <w:top w:val="nil"/>
              <w:left w:val="single" w:color="auto" w:sz="4" w:space="0"/>
              <w:bottom w:val="single" w:color="auto" w:sz="4" w:space="0"/>
              <w:right w:val="single" w:color="auto" w:sz="4" w:space="0"/>
            </w:tcBorders>
            <w:vAlign w:val="center"/>
          </w:tcPr>
          <w:p w14:paraId="75B7DA36">
            <w:pPr>
              <w:widowControl/>
              <w:autoSpaceDE/>
              <w:autoSpaceDN/>
              <w:spacing w:line="240" w:lineRule="auto"/>
              <w:ind w:firstLine="0" w:firstLineChars="0"/>
              <w:rPr>
                <w:rFonts w:hint="eastAsia" w:ascii="仿宋_GB2312" w:hAnsi="仿宋_GB2312" w:cs="仿宋_GB2312"/>
                <w:sz w:val="21"/>
                <w:szCs w:val="21"/>
                <w:lang w:val="en-US" w:bidi="ar-SA"/>
              </w:rPr>
            </w:pPr>
          </w:p>
        </w:tc>
        <w:tc>
          <w:tcPr>
            <w:tcW w:w="1314" w:type="pct"/>
            <w:tcBorders>
              <w:top w:val="nil"/>
              <w:left w:val="nil"/>
              <w:bottom w:val="single" w:color="auto" w:sz="4" w:space="0"/>
              <w:right w:val="single" w:color="auto" w:sz="4" w:space="0"/>
            </w:tcBorders>
            <w:vAlign w:val="center"/>
          </w:tcPr>
          <w:p w14:paraId="75B7DA37">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1. 空中视频流：可见光与热成像实时画面。</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2. 任务成果数据：正射影像图、火场三维模型、热力图（温度分布图）。</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3. 飞行元数据：实时GPS位置、高度、速度、姿态、电池状态。</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4. 侦察报告：飞手标注的火线位置、火势强度等信息。</w:t>
            </w:r>
          </w:p>
        </w:tc>
        <w:tc>
          <w:tcPr>
            <w:tcW w:w="1863" w:type="pct"/>
            <w:gridSpan w:val="2"/>
            <w:tcBorders>
              <w:top w:val="single" w:color="auto" w:sz="4" w:space="0"/>
              <w:left w:val="nil"/>
              <w:bottom w:val="single" w:color="auto" w:sz="4" w:space="0"/>
              <w:right w:val="single" w:color="auto" w:sz="4" w:space="0"/>
            </w:tcBorders>
            <w:vAlign w:val="center"/>
          </w:tcPr>
          <w:p w14:paraId="75B7DA38">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无人机采集</w:t>
            </w:r>
          </w:p>
        </w:tc>
        <w:tc>
          <w:tcPr>
            <w:tcW w:w="1107" w:type="pct"/>
            <w:tcBorders>
              <w:top w:val="nil"/>
              <w:left w:val="nil"/>
              <w:bottom w:val="single" w:color="auto" w:sz="4" w:space="0"/>
              <w:right w:val="single" w:color="auto" w:sz="4" w:space="0"/>
            </w:tcBorders>
            <w:vAlign w:val="center"/>
          </w:tcPr>
          <w:p w14:paraId="75B7DA39">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任务周期内实时：任务期间视频流实时回传；任务后处理成果一次性生成并上传。</w:t>
            </w:r>
          </w:p>
        </w:tc>
      </w:tr>
      <w:tr w14:paraId="75B7DA3F">
        <w:tblPrEx>
          <w:tblCellMar>
            <w:top w:w="0" w:type="dxa"/>
            <w:left w:w="108" w:type="dxa"/>
            <w:bottom w:w="0" w:type="dxa"/>
            <w:right w:w="108" w:type="dxa"/>
          </w:tblCellMar>
        </w:tblPrEx>
        <w:trPr>
          <w:trHeight w:val="1932" w:hRule="atLeast"/>
        </w:trPr>
        <w:tc>
          <w:tcPr>
            <w:tcW w:w="716" w:type="pct"/>
            <w:vMerge w:val="continue"/>
            <w:tcBorders>
              <w:top w:val="nil"/>
              <w:left w:val="single" w:color="auto" w:sz="4" w:space="0"/>
              <w:bottom w:val="single" w:color="auto" w:sz="4" w:space="0"/>
              <w:right w:val="single" w:color="auto" w:sz="4" w:space="0"/>
            </w:tcBorders>
            <w:vAlign w:val="center"/>
          </w:tcPr>
          <w:p w14:paraId="75B7DA3B">
            <w:pPr>
              <w:widowControl/>
              <w:autoSpaceDE/>
              <w:autoSpaceDN/>
              <w:spacing w:line="240" w:lineRule="auto"/>
              <w:ind w:firstLine="0" w:firstLineChars="0"/>
              <w:rPr>
                <w:rFonts w:hint="eastAsia" w:ascii="仿宋_GB2312" w:hAnsi="仿宋_GB2312" w:cs="仿宋_GB2312"/>
                <w:sz w:val="21"/>
                <w:szCs w:val="21"/>
                <w:lang w:val="en-US" w:bidi="ar-SA"/>
              </w:rPr>
            </w:pPr>
          </w:p>
        </w:tc>
        <w:tc>
          <w:tcPr>
            <w:tcW w:w="1314" w:type="pct"/>
            <w:tcBorders>
              <w:top w:val="nil"/>
              <w:left w:val="nil"/>
              <w:bottom w:val="single" w:color="auto" w:sz="4" w:space="0"/>
              <w:right w:val="single" w:color="auto" w:sz="4" w:space="0"/>
            </w:tcBorders>
            <w:vAlign w:val="center"/>
          </w:tcPr>
          <w:p w14:paraId="75B7DA3C">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1. 现场视频流：扑火队员或护林员第一视角视频。</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2. 位置轨迹：GPS/北斗定位信息形成的连续轨迹。</w:t>
            </w:r>
            <w:r>
              <w:rPr>
                <w:rFonts w:hint="eastAsia" w:ascii="仿宋_GB2312" w:hAnsi="仿宋_GB2312" w:cs="仿宋_GB2312"/>
                <w:sz w:val="21"/>
                <w:szCs w:val="21"/>
                <w:lang w:val="en-US" w:bidi="ar-SA"/>
              </w:rPr>
              <w:br w:type="textWrapping"/>
            </w:r>
            <w:r>
              <w:rPr>
                <w:rFonts w:hint="eastAsia" w:ascii="仿宋_GB2312" w:hAnsi="仿宋_GB2312" w:cs="仿宋_GB2312"/>
                <w:sz w:val="21"/>
                <w:szCs w:val="21"/>
                <w:lang w:val="en-US" w:bidi="ar-SA"/>
              </w:rPr>
              <w:t>3. 事件上报数据：通过APP填报的图文巡护事件（如违规用火、设施损坏）。</w:t>
            </w:r>
          </w:p>
        </w:tc>
        <w:tc>
          <w:tcPr>
            <w:tcW w:w="1863" w:type="pct"/>
            <w:gridSpan w:val="2"/>
            <w:tcBorders>
              <w:top w:val="single" w:color="auto" w:sz="4" w:space="0"/>
              <w:left w:val="nil"/>
              <w:bottom w:val="single" w:color="auto" w:sz="4" w:space="0"/>
              <w:right w:val="single" w:color="auto" w:sz="4" w:space="0"/>
            </w:tcBorders>
            <w:vAlign w:val="center"/>
          </w:tcPr>
          <w:p w14:paraId="75B7DA3D">
            <w:pPr>
              <w:widowControl/>
              <w:autoSpaceDE/>
              <w:autoSpaceDN/>
              <w:spacing w:line="240" w:lineRule="auto"/>
              <w:ind w:firstLine="0" w:firstLineChars="0"/>
              <w:jc w:val="center"/>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单兵图传设备/移动巡检APP</w:t>
            </w:r>
          </w:p>
        </w:tc>
        <w:tc>
          <w:tcPr>
            <w:tcW w:w="1107" w:type="pct"/>
            <w:tcBorders>
              <w:top w:val="nil"/>
              <w:left w:val="nil"/>
              <w:bottom w:val="single" w:color="auto" w:sz="4" w:space="0"/>
              <w:right w:val="single" w:color="auto" w:sz="4" w:space="0"/>
            </w:tcBorders>
            <w:vAlign w:val="center"/>
          </w:tcPr>
          <w:p w14:paraId="75B7DA3E">
            <w:pPr>
              <w:widowControl/>
              <w:autoSpaceDE/>
              <w:autoSpaceDN/>
              <w:spacing w:line="240" w:lineRule="auto"/>
              <w:ind w:firstLine="0" w:firstLineChars="0"/>
              <w:rPr>
                <w:rFonts w:hint="eastAsia" w:ascii="仿宋_GB2312" w:hAnsi="仿宋_GB2312" w:cs="仿宋_GB2312"/>
                <w:sz w:val="21"/>
                <w:szCs w:val="21"/>
                <w:lang w:val="en-US" w:bidi="ar-SA"/>
              </w:rPr>
            </w:pPr>
            <w:r>
              <w:rPr>
                <w:rFonts w:hint="eastAsia" w:ascii="仿宋_GB2312" w:hAnsi="仿宋_GB2312" w:cs="仿宋_GB2312"/>
                <w:sz w:val="21"/>
                <w:szCs w:val="21"/>
                <w:lang w:val="en-US" w:bidi="ar-SA"/>
              </w:rPr>
              <w:t>准实时/定时：视频流按需实时回传；轨迹分钟级上报；事件手动触发式上报。</w:t>
            </w:r>
          </w:p>
        </w:tc>
      </w:tr>
    </w:tbl>
    <w:p w14:paraId="75B7DA40">
      <w:pPr>
        <w:ind w:left="-2" w:leftChars="-1" w:firstLine="480"/>
        <w:rPr>
          <w:rFonts w:hint="eastAsia"/>
          <w:lang w:val="en-US"/>
        </w:rPr>
      </w:pPr>
    </w:p>
    <w:p w14:paraId="75B7DA41">
      <w:pPr>
        <w:ind w:left="-2" w:leftChars="-1" w:firstLine="480"/>
        <w:rPr>
          <w:rFonts w:hint="eastAsia"/>
          <w:lang w:val="en-US"/>
        </w:rPr>
      </w:pPr>
      <w:r>
        <w:rPr>
          <w:rFonts w:hint="eastAsia"/>
          <w:lang w:val="en-US"/>
        </w:rPr>
        <w:t>二、数据采集、处理与存储需求</w:t>
      </w:r>
    </w:p>
    <w:p w14:paraId="75B7DA42">
      <w:pPr>
        <w:ind w:left="-2" w:leftChars="-1" w:firstLine="480"/>
        <w:rPr>
          <w:rFonts w:hint="eastAsia"/>
          <w:lang w:val="en-US"/>
        </w:rPr>
      </w:pPr>
      <w:r>
        <w:rPr>
          <w:rFonts w:hint="eastAsia"/>
          <w:lang w:val="en-US"/>
        </w:rPr>
        <w:t>1.数据采集需求</w:t>
      </w:r>
    </w:p>
    <w:p w14:paraId="75B7DA43">
      <w:pPr>
        <w:ind w:left="-2" w:leftChars="-1" w:firstLine="480"/>
        <w:rPr>
          <w:rFonts w:hint="eastAsia"/>
          <w:lang w:val="en-US"/>
        </w:rPr>
      </w:pPr>
      <w:r>
        <w:rPr>
          <w:rFonts w:hint="eastAsia"/>
          <w:lang w:val="en-US"/>
        </w:rPr>
        <w:t>多协议接入能力：需支持主流的物联网协议（MQTT, CoAP）、视频协议（GB/T 28181, RTSP）、地理信息标准服务（OGC WMS/WFS）以及通用的API接口（RESTful）等。</w:t>
      </w:r>
    </w:p>
    <w:p w14:paraId="75B7DA44">
      <w:pPr>
        <w:ind w:left="-2" w:leftChars="-1" w:firstLine="480"/>
        <w:rPr>
          <w:rFonts w:hint="eastAsia"/>
          <w:lang w:val="en-US"/>
        </w:rPr>
      </w:pPr>
      <w:r>
        <w:rPr>
          <w:rFonts w:hint="eastAsia"/>
          <w:lang w:val="en-US"/>
        </w:rPr>
        <w:t>高并发与稳定性：需支持上千路视频流、上万个传感器数据点的7×24小时不间断、低延迟接入，具备流量削峰和断点续传能力。</w:t>
      </w:r>
    </w:p>
    <w:p w14:paraId="75B7DA45">
      <w:pPr>
        <w:ind w:left="-2" w:leftChars="-1" w:firstLine="480"/>
        <w:rPr>
          <w:rFonts w:hint="eastAsia"/>
          <w:lang w:val="en-US"/>
        </w:rPr>
      </w:pPr>
      <w:r>
        <w:rPr>
          <w:rFonts w:hint="eastAsia"/>
          <w:lang w:val="en-US"/>
        </w:rPr>
        <w:t>边缘预处理：在前端或边缘节点部署轻量级计算单元，对视频流进行初级智能分析（烟火识别）和压缩，对传感器数据进行质量初检和聚合，减少无效数据传输。</w:t>
      </w:r>
    </w:p>
    <w:p w14:paraId="75B7DA46">
      <w:pPr>
        <w:ind w:left="-2" w:leftChars="-1" w:firstLine="480"/>
        <w:rPr>
          <w:rFonts w:hint="eastAsia"/>
          <w:lang w:val="en-US"/>
        </w:rPr>
      </w:pPr>
      <w:r>
        <w:rPr>
          <w:rFonts w:hint="eastAsia"/>
          <w:lang w:val="en-US"/>
        </w:rPr>
        <w:t>2.数据加工处理需求</w:t>
      </w:r>
    </w:p>
    <w:p w14:paraId="75B7DA47">
      <w:pPr>
        <w:ind w:left="-2" w:leftChars="-1" w:firstLine="480"/>
        <w:rPr>
          <w:rFonts w:hint="eastAsia"/>
          <w:lang w:val="en-US"/>
        </w:rPr>
      </w:pPr>
      <w:r>
        <w:rPr>
          <w:rFonts w:hint="eastAsia"/>
          <w:lang w:val="en-US"/>
        </w:rPr>
        <w:t>数据清洗与标准化：建立统一的数据清洗规则库，对多源数据进行去重、纠错、格式转换、坐标统一（至CGCS2000），确保数据质量。</w:t>
      </w:r>
    </w:p>
    <w:p w14:paraId="75B7DA48">
      <w:pPr>
        <w:ind w:left="-2" w:leftChars="-1" w:firstLine="480"/>
        <w:rPr>
          <w:rFonts w:hint="eastAsia"/>
          <w:lang w:val="en-US"/>
        </w:rPr>
      </w:pPr>
      <w:r>
        <w:rPr>
          <w:rFonts w:hint="eastAsia"/>
          <w:lang w:val="en-US"/>
        </w:rPr>
        <w:t>实时流处理：需建设实时计算引擎，对视频告警流、传感器数据流进行实时关联、融合与复杂事件处理（CEP），例如结合气象数据判断告警真实性。</w:t>
      </w:r>
    </w:p>
    <w:p w14:paraId="75B7DA49">
      <w:pPr>
        <w:ind w:left="-2" w:leftChars="-1" w:firstLine="480"/>
        <w:rPr>
          <w:rFonts w:hint="eastAsia"/>
          <w:lang w:val="en-US"/>
        </w:rPr>
      </w:pPr>
      <w:r>
        <w:rPr>
          <w:rFonts w:hint="eastAsia"/>
          <w:lang w:val="en-US"/>
        </w:rPr>
        <w:t>时空分析与模型计算：需集成强大的GIS引擎和业务模型，支持火场蔓延模拟、救援路径规划、影响范围分析等空间分析与专业模型计算。</w:t>
      </w:r>
    </w:p>
    <w:p w14:paraId="75B7DA4A">
      <w:pPr>
        <w:ind w:left="-2" w:leftChars="-1" w:firstLine="480"/>
        <w:rPr>
          <w:rFonts w:hint="eastAsia"/>
          <w:lang w:val="en-US"/>
        </w:rPr>
      </w:pPr>
      <w:r>
        <w:rPr>
          <w:rFonts w:hint="eastAsia"/>
          <w:lang w:val="en-US"/>
        </w:rPr>
        <w:t>数据服务化封装：将处理后的原始数据、主题数据、知识数据，以标准API、数据服务接口的形式发布，供上层应用灵活调用。</w:t>
      </w:r>
    </w:p>
    <w:p w14:paraId="75B7DA4B">
      <w:pPr>
        <w:ind w:left="-2" w:leftChars="-1" w:firstLine="480"/>
        <w:rPr>
          <w:rFonts w:hint="eastAsia"/>
          <w:lang w:val="en-US"/>
        </w:rPr>
      </w:pPr>
      <w:r>
        <w:rPr>
          <w:rFonts w:hint="eastAsia"/>
          <w:lang w:val="en-US"/>
        </w:rPr>
        <w:t>3. 数据存储需求</w:t>
      </w:r>
    </w:p>
    <w:p w14:paraId="75B7DA4C">
      <w:pPr>
        <w:ind w:left="-2" w:leftChars="-1" w:firstLine="480"/>
        <w:rPr>
          <w:rFonts w:hint="eastAsia"/>
          <w:lang w:val="en-US"/>
        </w:rPr>
      </w:pPr>
      <w:r>
        <w:rPr>
          <w:rFonts w:hint="eastAsia"/>
          <w:lang w:val="en-US"/>
        </w:rPr>
        <w:t>分层分级存储架构：</w:t>
      </w:r>
    </w:p>
    <w:p w14:paraId="75B7DA4D">
      <w:pPr>
        <w:ind w:left="-2" w:leftChars="-1" w:firstLine="480"/>
        <w:rPr>
          <w:rFonts w:hint="eastAsia"/>
          <w:lang w:val="en-US"/>
        </w:rPr>
      </w:pPr>
      <w:r>
        <w:rPr>
          <w:rFonts w:hint="eastAsia"/>
          <w:lang w:val="en-US"/>
        </w:rPr>
        <w:t>热存储：用于存放近90天的高频访问数据，如实时视频片段、最新告警事件、当前火场态势数据。要求超高IOPS和低延迟，采用高性能分布式存储或全闪存阵列。</w:t>
      </w:r>
    </w:p>
    <w:p w14:paraId="75B7DA4E">
      <w:pPr>
        <w:ind w:left="-2" w:leftChars="-1" w:firstLine="480"/>
        <w:rPr>
          <w:rFonts w:hint="eastAsia"/>
          <w:lang w:val="en-US"/>
        </w:rPr>
      </w:pPr>
      <w:r>
        <w:rPr>
          <w:rFonts w:hint="eastAsia"/>
          <w:lang w:val="en-US"/>
        </w:rPr>
        <w:t>温存储：用于存放近1年的结构化业务数据，如火情档案、资源台账、操作日志。要求高可靠性、强一致性，采用关系型数据库集群。</w:t>
      </w:r>
    </w:p>
    <w:p w14:paraId="75B7DA4F">
      <w:pPr>
        <w:ind w:left="-2" w:leftChars="-1" w:firstLine="480"/>
        <w:rPr>
          <w:rFonts w:hint="eastAsia"/>
          <w:lang w:val="en-US"/>
        </w:rPr>
      </w:pPr>
      <w:r>
        <w:rPr>
          <w:rFonts w:hint="eastAsia"/>
          <w:lang w:val="en-US"/>
        </w:rPr>
        <w:t>冷存储/归档存储：用于存放历史视频录像、长期归档的业务数据。要求大容量、低成本，采用对象存储或磁带库，并制定自动化的数据生命周期管理策略。</w:t>
      </w:r>
    </w:p>
    <w:p w14:paraId="75B7DA50">
      <w:pPr>
        <w:ind w:left="-2" w:leftChars="-1" w:firstLine="480"/>
        <w:rPr>
          <w:rFonts w:hint="eastAsia"/>
          <w:lang w:val="en-US"/>
        </w:rPr>
      </w:pPr>
      <w:r>
        <w:rPr>
          <w:rFonts w:hint="eastAsia"/>
          <w:lang w:val="en-US"/>
        </w:rPr>
        <w:t>数据安全存储：必须满足网络安全等级保护三级要求，对敏感数据（如火点精确坐标、指挥指令）实施存储加密，并建立完善的备份与容灾机制。</w:t>
      </w:r>
    </w:p>
    <w:p w14:paraId="75B7DA51">
      <w:pPr>
        <w:pStyle w:val="3"/>
        <w:rPr>
          <w:lang w:val="en-US"/>
        </w:rPr>
      </w:pPr>
      <w:bookmarkStart w:id="73" w:name="_Toc12744"/>
      <w:r>
        <w:rPr>
          <w:rFonts w:hint="eastAsia"/>
          <w:lang w:val="en-US"/>
        </w:rPr>
        <w:t>服务对象分析</w:t>
      </w:r>
      <w:bookmarkEnd w:id="71"/>
      <w:bookmarkEnd w:id="73"/>
    </w:p>
    <w:p w14:paraId="75B7DA52">
      <w:pPr>
        <w:ind w:left="-2" w:leftChars="-1" w:firstLine="480"/>
        <w:rPr>
          <w:rFonts w:hint="eastAsia"/>
          <w:lang w:val="en-US"/>
        </w:rPr>
      </w:pPr>
      <w:bookmarkStart w:id="74" w:name="_Toc11688"/>
      <w:r>
        <w:rPr>
          <w:rFonts w:hint="eastAsia"/>
          <w:lang w:val="en-US"/>
        </w:rPr>
        <w:t>内部服务对象：</w:t>
      </w:r>
    </w:p>
    <w:p w14:paraId="75B7DA53">
      <w:pPr>
        <w:ind w:left="-2" w:leftChars="-1" w:firstLine="480"/>
        <w:rPr>
          <w:rFonts w:hint="eastAsia"/>
          <w:lang w:val="en-US"/>
        </w:rPr>
      </w:pPr>
      <w:r>
        <w:rPr>
          <w:rFonts w:hint="eastAsia"/>
          <w:lang w:val="en-US"/>
        </w:rPr>
        <w:t>市级/县级森林防火调度中心：负责指挥决策。</w:t>
      </w:r>
    </w:p>
    <w:p w14:paraId="75B7DA54">
      <w:pPr>
        <w:ind w:left="-2" w:leftChars="-1" w:firstLine="480"/>
        <w:rPr>
          <w:rFonts w:hint="eastAsia"/>
          <w:lang w:val="en-US"/>
        </w:rPr>
      </w:pPr>
      <w:r>
        <w:rPr>
          <w:rFonts w:hint="eastAsia"/>
          <w:lang w:val="en-US"/>
        </w:rPr>
        <w:t>护林员及消防队伍：使用巡护终端和APP。</w:t>
      </w:r>
    </w:p>
    <w:p w14:paraId="75B7DA55">
      <w:pPr>
        <w:ind w:left="-2" w:leftChars="-1" w:firstLine="480"/>
        <w:rPr>
          <w:rFonts w:hint="eastAsia"/>
          <w:lang w:val="en-US"/>
        </w:rPr>
      </w:pPr>
      <w:r>
        <w:rPr>
          <w:rFonts w:hint="eastAsia"/>
          <w:lang w:val="en-US"/>
        </w:rPr>
        <w:t>技术运维部门：管理平台和设备。</w:t>
      </w:r>
    </w:p>
    <w:p w14:paraId="75B7DA56">
      <w:pPr>
        <w:ind w:left="-2" w:leftChars="-1" w:firstLine="480"/>
        <w:rPr>
          <w:rFonts w:hint="eastAsia"/>
          <w:lang w:val="en-US"/>
        </w:rPr>
      </w:pPr>
      <w:r>
        <w:rPr>
          <w:rFonts w:hint="eastAsia"/>
          <w:lang w:val="en-US"/>
        </w:rPr>
        <w:t>外部服务对象：</w:t>
      </w:r>
    </w:p>
    <w:p w14:paraId="75B7DA57">
      <w:pPr>
        <w:ind w:left="-2" w:leftChars="-1" w:firstLine="480"/>
        <w:rPr>
          <w:rFonts w:hint="eastAsia"/>
          <w:lang w:val="en-US"/>
        </w:rPr>
      </w:pPr>
      <w:r>
        <w:rPr>
          <w:rFonts w:hint="eastAsia"/>
          <w:lang w:val="en-US"/>
        </w:rPr>
        <w:t>法人：如旅游景区管理者，接收防火警示信息。</w:t>
      </w:r>
    </w:p>
    <w:p w14:paraId="75B7DA58">
      <w:pPr>
        <w:ind w:left="-2" w:leftChars="-1" w:firstLine="480"/>
        <w:rPr>
          <w:rFonts w:hint="eastAsia"/>
          <w:lang w:val="en-US"/>
        </w:rPr>
      </w:pPr>
      <w:r>
        <w:rPr>
          <w:rFonts w:hint="eastAsia"/>
          <w:lang w:val="en-US"/>
        </w:rPr>
        <w:t>自然人：公众通过宣传杆获取防火知识，间接提升社会参与度。</w:t>
      </w:r>
    </w:p>
    <w:p w14:paraId="75B7DA59">
      <w:pPr>
        <w:pStyle w:val="3"/>
        <w:rPr>
          <w:lang w:val="en-US"/>
        </w:rPr>
      </w:pPr>
      <w:bookmarkStart w:id="75" w:name="_Toc14157"/>
      <w:r>
        <w:rPr>
          <w:rFonts w:hint="eastAsia"/>
          <w:lang w:val="en-US"/>
        </w:rPr>
        <w:t>业务协同分析</w:t>
      </w:r>
      <w:bookmarkEnd w:id="74"/>
      <w:bookmarkEnd w:id="75"/>
    </w:p>
    <w:p w14:paraId="75B7DA5A">
      <w:pPr>
        <w:pStyle w:val="4"/>
        <w:rPr>
          <w:rFonts w:hint="eastAsia"/>
          <w:lang w:val="en-US"/>
        </w:rPr>
      </w:pPr>
      <w:bookmarkStart w:id="76" w:name="_Toc10845"/>
      <w:bookmarkStart w:id="77" w:name="_Toc9600"/>
      <w:r>
        <w:rPr>
          <w:rFonts w:hint="eastAsia"/>
          <w:lang w:val="en-US"/>
        </w:rPr>
        <w:t>关联系统需求分析</w:t>
      </w:r>
      <w:bookmarkEnd w:id="76"/>
      <w:bookmarkEnd w:id="77"/>
    </w:p>
    <w:p w14:paraId="75B7DA5B">
      <w:pPr>
        <w:ind w:left="-2" w:leftChars="-1" w:firstLine="480"/>
        <w:rPr>
          <w:rFonts w:hint="eastAsia"/>
          <w:lang w:val="en-US"/>
        </w:rPr>
      </w:pPr>
      <w:bookmarkStart w:id="78" w:name="_Toc17248"/>
      <w:r>
        <w:rPr>
          <w:rFonts w:hint="eastAsia"/>
          <w:lang w:val="en-US"/>
        </w:rPr>
        <w:t>内部协同：与林业局现有资源管理系统、应急预案数据库交互。</w:t>
      </w:r>
    </w:p>
    <w:p w14:paraId="75B7DA5C">
      <w:pPr>
        <w:ind w:left="-2" w:leftChars="-1" w:firstLine="480"/>
        <w:rPr>
          <w:rFonts w:hint="eastAsia"/>
          <w:lang w:val="en-US"/>
        </w:rPr>
      </w:pPr>
      <w:r>
        <w:rPr>
          <w:rFonts w:hint="eastAsia"/>
          <w:lang w:val="en-US"/>
        </w:rPr>
        <w:t>外部协同：与低空政务综合巡检平台、省/市级视频共享平台等系统对接。</w:t>
      </w:r>
    </w:p>
    <w:p w14:paraId="75B7DA5D">
      <w:pPr>
        <w:pStyle w:val="4"/>
        <w:rPr>
          <w:rFonts w:hint="eastAsia"/>
          <w:lang w:val="en-US"/>
        </w:rPr>
      </w:pPr>
      <w:bookmarkStart w:id="79" w:name="_Toc16269"/>
      <w:r>
        <w:rPr>
          <w:rFonts w:hint="eastAsia"/>
          <w:lang w:val="en-US"/>
        </w:rPr>
        <w:t>接口需求分析</w:t>
      </w:r>
      <w:bookmarkEnd w:id="78"/>
      <w:bookmarkEnd w:id="79"/>
    </w:p>
    <w:p w14:paraId="75B7DA5E">
      <w:pPr>
        <w:ind w:left="-2" w:leftChars="-1" w:firstLine="480"/>
        <w:rPr>
          <w:rFonts w:hint="eastAsia"/>
          <w:lang w:val="en-US"/>
        </w:rPr>
      </w:pPr>
      <w:r>
        <w:rPr>
          <w:rFonts w:hint="eastAsia"/>
          <w:lang w:val="en-US"/>
        </w:rPr>
        <w:t>视频监控接口：采用GB/T28181标准，实现与自然资源、森防存量平台对接。</w:t>
      </w:r>
    </w:p>
    <w:p w14:paraId="75B7DA5F">
      <w:pPr>
        <w:ind w:left="-2" w:leftChars="-1" w:firstLine="480"/>
        <w:rPr>
          <w:rFonts w:hint="eastAsia"/>
          <w:lang w:val="en-US"/>
        </w:rPr>
      </w:pPr>
      <w:r>
        <w:rPr>
          <w:rFonts w:hint="eastAsia"/>
          <w:lang w:val="en-US"/>
        </w:rPr>
        <w:t>数据服务接口：RESTful API支持火情数据共享，更新频率实时。</w:t>
      </w:r>
    </w:p>
    <w:p w14:paraId="75B7DA60">
      <w:pPr>
        <w:ind w:left="-2" w:leftChars="-1" w:firstLine="480"/>
        <w:rPr>
          <w:rFonts w:hint="eastAsia"/>
          <w:lang w:val="en-US"/>
        </w:rPr>
      </w:pPr>
      <w:r>
        <w:rPr>
          <w:rFonts w:hint="eastAsia"/>
          <w:lang w:val="en-US"/>
        </w:rPr>
        <w:t>互操作流程：告警触发后，自动推送至相关单位系统，确保跨部门协同。</w:t>
      </w:r>
    </w:p>
    <w:p w14:paraId="75B7DA61">
      <w:pPr>
        <w:pStyle w:val="4"/>
        <w:rPr>
          <w:rFonts w:hint="eastAsia"/>
          <w:lang w:val="en-US"/>
        </w:rPr>
      </w:pPr>
      <w:bookmarkStart w:id="80" w:name="_Toc24742"/>
      <w:r>
        <w:rPr>
          <w:rFonts w:hint="eastAsia"/>
          <w:lang w:val="en-US"/>
        </w:rPr>
        <w:t>项目边界及约束条件</w:t>
      </w:r>
      <w:bookmarkEnd w:id="80"/>
    </w:p>
    <w:p w14:paraId="75B7DA62">
      <w:pPr>
        <w:ind w:left="-2" w:leftChars="-1" w:firstLine="480"/>
        <w:rPr>
          <w:rFonts w:hint="eastAsia"/>
          <w:lang w:val="en-US"/>
        </w:rPr>
      </w:pPr>
      <w:r>
        <w:rPr>
          <w:rFonts w:hint="eastAsia"/>
          <w:lang w:val="en-US"/>
        </w:rPr>
        <w:t>业务边界：聚焦森林火灾防控，不涉及城市消防或其他灾害。</w:t>
      </w:r>
    </w:p>
    <w:p w14:paraId="75B7DA63">
      <w:pPr>
        <w:ind w:left="-2" w:leftChars="-1" w:firstLine="480"/>
        <w:rPr>
          <w:rFonts w:hint="eastAsia"/>
          <w:lang w:val="en-US"/>
        </w:rPr>
      </w:pPr>
      <w:r>
        <w:rPr>
          <w:rFonts w:hint="eastAsia"/>
          <w:lang w:val="en-US"/>
        </w:rPr>
        <w:t>系统边界：覆盖岳阳市本级及6个区县林区。</w:t>
      </w:r>
    </w:p>
    <w:p w14:paraId="75B7DA64">
      <w:pPr>
        <w:ind w:left="-2" w:leftChars="-1" w:firstLine="480"/>
        <w:rPr>
          <w:rFonts w:hint="eastAsia"/>
          <w:lang w:val="en-US"/>
        </w:rPr>
      </w:pPr>
      <w:r>
        <w:rPr>
          <w:rFonts w:hint="eastAsia"/>
          <w:lang w:val="en-US"/>
        </w:rPr>
        <w:t>网络边界：政务外网、互联网、感知网三网融合。</w:t>
      </w:r>
    </w:p>
    <w:p w14:paraId="75B7DA65">
      <w:pPr>
        <w:ind w:left="-2" w:leftChars="-1" w:firstLine="480"/>
        <w:rPr>
          <w:rFonts w:hint="eastAsia"/>
          <w:lang w:val="en-US"/>
        </w:rPr>
      </w:pPr>
      <w:r>
        <w:rPr>
          <w:rFonts w:hint="eastAsia"/>
          <w:lang w:val="en-US"/>
        </w:rPr>
        <w:t>关键约束：设备需符合信创要求，成本控制遵循“效益牵引”原则。</w:t>
      </w:r>
    </w:p>
    <w:p w14:paraId="75B7DA66">
      <w:pPr>
        <w:pStyle w:val="3"/>
        <w:rPr>
          <w:lang w:val="en-US"/>
        </w:rPr>
      </w:pPr>
      <w:bookmarkStart w:id="81" w:name="_Toc32609"/>
      <w:bookmarkStart w:id="82" w:name="_Toc6156"/>
      <w:r>
        <w:rPr>
          <w:rFonts w:hint="eastAsia"/>
          <w:lang w:val="en-US"/>
        </w:rPr>
        <w:t>支撑能力分析</w:t>
      </w:r>
      <w:bookmarkEnd w:id="81"/>
      <w:bookmarkEnd w:id="82"/>
    </w:p>
    <w:p w14:paraId="75B7DA67">
      <w:pPr>
        <w:pStyle w:val="5"/>
      </w:pPr>
      <w:r>
        <w:t>硬件及软件需求</w:t>
      </w:r>
    </w:p>
    <w:p w14:paraId="75B7DA68">
      <w:pPr>
        <w:ind w:left="-2" w:leftChars="-1" w:firstLine="480"/>
        <w:rPr>
          <w:rFonts w:hint="eastAsia"/>
          <w:lang w:val="en-US"/>
        </w:rPr>
      </w:pPr>
      <w:r>
        <w:rPr>
          <w:rFonts w:hint="eastAsia"/>
          <w:lang w:val="en-US"/>
        </w:rPr>
        <w:t>存储备份：采用CVR存储模式，支持176.51TB容量。</w:t>
      </w:r>
    </w:p>
    <w:p w14:paraId="75B7DA69">
      <w:pPr>
        <w:ind w:left="-2" w:leftChars="-1" w:firstLine="480"/>
        <w:rPr>
          <w:rFonts w:hint="eastAsia"/>
          <w:lang w:val="en-US"/>
        </w:rPr>
      </w:pPr>
      <w:r>
        <w:rPr>
          <w:rFonts w:hint="eastAsia"/>
          <w:lang w:val="en-US"/>
        </w:rPr>
        <w:t>网络设备：防火墙、交换机保障多网接入。</w:t>
      </w:r>
    </w:p>
    <w:p w14:paraId="75B7DA6B">
      <w:pPr>
        <w:ind w:left="-2" w:leftChars="-1" w:firstLine="480"/>
        <w:rPr>
          <w:rFonts w:hint="eastAsia"/>
          <w:lang w:val="en-US"/>
        </w:rPr>
      </w:pPr>
      <w:r>
        <w:rPr>
          <w:rFonts w:hint="eastAsia"/>
          <w:lang w:val="en-US"/>
        </w:rPr>
        <w:t>安全系统：等保三级合规设备。</w:t>
      </w:r>
    </w:p>
    <w:p w14:paraId="75B7DA6C">
      <w:pPr>
        <w:pStyle w:val="5"/>
        <w:rPr>
          <w:lang w:val="en-US"/>
        </w:rPr>
      </w:pPr>
      <w:r>
        <w:rPr>
          <w:rFonts w:hint="eastAsia"/>
          <w:lang w:val="en-US"/>
        </w:rPr>
        <w:t>上云资源需求</w:t>
      </w:r>
    </w:p>
    <w:p w14:paraId="75B7DA6D">
      <w:pPr>
        <w:ind w:firstLine="480"/>
        <w:rPr>
          <w:rFonts w:hint="eastAsia"/>
          <w:lang w:val="en-US"/>
        </w:rPr>
      </w:pPr>
      <w:r>
        <w:rPr>
          <w:rFonts w:hint="eastAsia"/>
          <w:lang w:val="en-US"/>
        </w:rPr>
        <w:t xml:space="preserve"> 项目整体云资源需求表如下：</w:t>
      </w:r>
    </w:p>
    <w:tbl>
      <w:tblPr>
        <w:tblStyle w:val="38"/>
        <w:tblW w:w="5000" w:type="pct"/>
        <w:tblInd w:w="0" w:type="dxa"/>
        <w:tblLayout w:type="autofit"/>
        <w:tblCellMar>
          <w:top w:w="0" w:type="dxa"/>
          <w:left w:w="108" w:type="dxa"/>
          <w:bottom w:w="0" w:type="dxa"/>
          <w:right w:w="108" w:type="dxa"/>
        </w:tblCellMar>
      </w:tblPr>
      <w:tblGrid>
        <w:gridCol w:w="2378"/>
        <w:gridCol w:w="1813"/>
        <w:gridCol w:w="2302"/>
        <w:gridCol w:w="1813"/>
      </w:tblGrid>
      <w:tr w14:paraId="75B7DA72">
        <w:tblPrEx>
          <w:tblCellMar>
            <w:top w:w="0" w:type="dxa"/>
            <w:left w:w="108" w:type="dxa"/>
            <w:bottom w:w="0" w:type="dxa"/>
            <w:right w:w="108" w:type="dxa"/>
          </w:tblCellMar>
        </w:tblPrEx>
        <w:trPr>
          <w:trHeight w:val="552" w:hRule="atLeast"/>
        </w:trPr>
        <w:tc>
          <w:tcPr>
            <w:tcW w:w="1431" w:type="pct"/>
            <w:tcBorders>
              <w:top w:val="single" w:color="auto" w:sz="4" w:space="0"/>
              <w:left w:val="single" w:color="auto" w:sz="4" w:space="0"/>
              <w:bottom w:val="single" w:color="auto" w:sz="4" w:space="0"/>
              <w:right w:val="single" w:color="auto" w:sz="4" w:space="0"/>
            </w:tcBorders>
            <w:vAlign w:val="center"/>
          </w:tcPr>
          <w:p w14:paraId="75B7DA6E">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信创环境</w:t>
            </w:r>
          </w:p>
        </w:tc>
        <w:tc>
          <w:tcPr>
            <w:tcW w:w="1091" w:type="pct"/>
            <w:tcBorders>
              <w:top w:val="single" w:color="auto" w:sz="4" w:space="0"/>
              <w:left w:val="nil"/>
              <w:bottom w:val="single" w:color="auto" w:sz="4" w:space="0"/>
              <w:right w:val="single" w:color="auto" w:sz="4" w:space="0"/>
            </w:tcBorders>
            <w:vAlign w:val="center"/>
          </w:tcPr>
          <w:p w14:paraId="75B7DA6F">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子类</w:t>
            </w:r>
          </w:p>
        </w:tc>
        <w:tc>
          <w:tcPr>
            <w:tcW w:w="1385" w:type="pct"/>
            <w:tcBorders>
              <w:top w:val="single" w:color="auto" w:sz="4" w:space="0"/>
              <w:left w:val="nil"/>
              <w:bottom w:val="single" w:color="auto" w:sz="4" w:space="0"/>
              <w:right w:val="single" w:color="auto" w:sz="4" w:space="0"/>
            </w:tcBorders>
            <w:vAlign w:val="center"/>
          </w:tcPr>
          <w:p w14:paraId="75B7DA70">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规格</w:t>
            </w:r>
          </w:p>
        </w:tc>
        <w:tc>
          <w:tcPr>
            <w:tcW w:w="1091" w:type="pct"/>
            <w:tcBorders>
              <w:top w:val="single" w:color="auto" w:sz="4" w:space="0"/>
              <w:left w:val="nil"/>
              <w:bottom w:val="single" w:color="auto" w:sz="4" w:space="0"/>
              <w:right w:val="single" w:color="auto" w:sz="4" w:space="0"/>
            </w:tcBorders>
            <w:vAlign w:val="center"/>
          </w:tcPr>
          <w:p w14:paraId="75B7DA71">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数量</w:t>
            </w:r>
          </w:p>
        </w:tc>
      </w:tr>
      <w:tr w14:paraId="75B7DA77">
        <w:tblPrEx>
          <w:tblCellMar>
            <w:top w:w="0" w:type="dxa"/>
            <w:left w:w="108" w:type="dxa"/>
            <w:bottom w:w="0" w:type="dxa"/>
            <w:right w:w="108" w:type="dxa"/>
          </w:tblCellMar>
        </w:tblPrEx>
        <w:trPr>
          <w:trHeight w:val="552" w:hRule="atLeast"/>
        </w:trPr>
        <w:tc>
          <w:tcPr>
            <w:tcW w:w="1431" w:type="pct"/>
            <w:tcBorders>
              <w:top w:val="single" w:color="auto" w:sz="4" w:space="0"/>
              <w:left w:val="single" w:color="auto" w:sz="4" w:space="0"/>
              <w:bottom w:val="single" w:color="auto" w:sz="4" w:space="0"/>
              <w:right w:val="single" w:color="auto" w:sz="4" w:space="0"/>
            </w:tcBorders>
            <w:vAlign w:val="center"/>
          </w:tcPr>
          <w:p w14:paraId="75B7DA73">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一、计算资源</w:t>
            </w:r>
          </w:p>
        </w:tc>
        <w:tc>
          <w:tcPr>
            <w:tcW w:w="1091" w:type="pct"/>
            <w:tcBorders>
              <w:top w:val="single" w:color="auto" w:sz="4" w:space="0"/>
              <w:left w:val="nil"/>
              <w:bottom w:val="single" w:color="auto" w:sz="4" w:space="0"/>
              <w:right w:val="single" w:color="auto" w:sz="4" w:space="0"/>
            </w:tcBorders>
            <w:vAlign w:val="center"/>
          </w:tcPr>
          <w:p w14:paraId="75B7DA74">
            <w:pPr>
              <w:widowControl/>
              <w:autoSpaceDE/>
              <w:autoSpaceDN/>
              <w:spacing w:line="240" w:lineRule="auto"/>
              <w:ind w:firstLine="0" w:firstLineChars="0"/>
              <w:jc w:val="center"/>
              <w:rPr>
                <w:rFonts w:hint="eastAsia" w:ascii="仿宋_GB2312" w:hAnsi="等线"/>
                <w:b/>
                <w:bCs/>
                <w:sz w:val="21"/>
                <w:szCs w:val="21"/>
                <w:lang w:val="en-US" w:bidi="ar-SA"/>
              </w:rPr>
            </w:pPr>
          </w:p>
        </w:tc>
        <w:tc>
          <w:tcPr>
            <w:tcW w:w="1385" w:type="pct"/>
            <w:tcBorders>
              <w:top w:val="single" w:color="auto" w:sz="4" w:space="0"/>
              <w:left w:val="nil"/>
              <w:bottom w:val="single" w:color="auto" w:sz="4" w:space="0"/>
              <w:right w:val="single" w:color="auto" w:sz="4" w:space="0"/>
            </w:tcBorders>
            <w:vAlign w:val="center"/>
          </w:tcPr>
          <w:p w14:paraId="75B7DA75">
            <w:pPr>
              <w:widowControl/>
              <w:autoSpaceDE/>
              <w:autoSpaceDN/>
              <w:spacing w:line="240" w:lineRule="auto"/>
              <w:ind w:firstLine="0" w:firstLineChars="0"/>
              <w:jc w:val="center"/>
              <w:rPr>
                <w:rFonts w:hint="eastAsia" w:ascii="仿宋_GB2312" w:hAnsi="等线"/>
                <w:b/>
                <w:bCs/>
                <w:sz w:val="21"/>
                <w:szCs w:val="21"/>
                <w:lang w:val="en-US" w:bidi="ar-SA"/>
              </w:rPr>
            </w:pPr>
          </w:p>
        </w:tc>
        <w:tc>
          <w:tcPr>
            <w:tcW w:w="1091" w:type="pct"/>
            <w:tcBorders>
              <w:top w:val="single" w:color="auto" w:sz="4" w:space="0"/>
              <w:left w:val="nil"/>
              <w:bottom w:val="single" w:color="auto" w:sz="4" w:space="0"/>
              <w:right w:val="single" w:color="auto" w:sz="4" w:space="0"/>
            </w:tcBorders>
            <w:vAlign w:val="center"/>
          </w:tcPr>
          <w:p w14:paraId="75B7DA76">
            <w:pPr>
              <w:widowControl/>
              <w:autoSpaceDE/>
              <w:autoSpaceDN/>
              <w:spacing w:line="240" w:lineRule="auto"/>
              <w:ind w:firstLine="0" w:firstLineChars="0"/>
              <w:jc w:val="center"/>
              <w:rPr>
                <w:rFonts w:hint="eastAsia" w:ascii="仿宋_GB2312" w:hAnsi="等线"/>
                <w:b/>
                <w:bCs/>
                <w:sz w:val="21"/>
                <w:szCs w:val="21"/>
                <w:lang w:val="en-US" w:bidi="ar-SA"/>
              </w:rPr>
            </w:pPr>
          </w:p>
        </w:tc>
      </w:tr>
      <w:tr w14:paraId="75B7DA7C">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7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cpu</w:t>
            </w:r>
          </w:p>
        </w:tc>
        <w:tc>
          <w:tcPr>
            <w:tcW w:w="1091" w:type="pct"/>
            <w:tcBorders>
              <w:top w:val="nil"/>
              <w:left w:val="nil"/>
              <w:bottom w:val="single" w:color="auto" w:sz="4" w:space="0"/>
              <w:right w:val="single" w:color="auto" w:sz="4" w:space="0"/>
            </w:tcBorders>
            <w:vAlign w:val="center"/>
          </w:tcPr>
          <w:p w14:paraId="75B7DA7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c>
          <w:tcPr>
            <w:tcW w:w="1385" w:type="pct"/>
            <w:tcBorders>
              <w:top w:val="nil"/>
              <w:left w:val="nil"/>
              <w:bottom w:val="single" w:color="auto" w:sz="4" w:space="0"/>
              <w:right w:val="single" w:color="auto" w:sz="4" w:space="0"/>
            </w:tcBorders>
            <w:vAlign w:val="center"/>
          </w:tcPr>
          <w:p w14:paraId="75B7DA7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vcpu</w:t>
            </w:r>
          </w:p>
        </w:tc>
        <w:tc>
          <w:tcPr>
            <w:tcW w:w="1091" w:type="pct"/>
            <w:tcBorders>
              <w:top w:val="nil"/>
              <w:left w:val="nil"/>
              <w:bottom w:val="single" w:color="auto" w:sz="4" w:space="0"/>
              <w:right w:val="single" w:color="auto" w:sz="4" w:space="0"/>
            </w:tcBorders>
            <w:vAlign w:val="center"/>
          </w:tcPr>
          <w:p w14:paraId="75B7DA7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128</w:t>
            </w:r>
          </w:p>
        </w:tc>
      </w:tr>
      <w:tr w14:paraId="75B7DA81">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7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内存</w:t>
            </w:r>
          </w:p>
        </w:tc>
        <w:tc>
          <w:tcPr>
            <w:tcW w:w="1091" w:type="pct"/>
            <w:tcBorders>
              <w:top w:val="nil"/>
              <w:left w:val="nil"/>
              <w:bottom w:val="single" w:color="auto" w:sz="4" w:space="0"/>
              <w:right w:val="single" w:color="auto" w:sz="4" w:space="0"/>
            </w:tcBorders>
            <w:vAlign w:val="center"/>
          </w:tcPr>
          <w:p w14:paraId="75B7DA7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c>
          <w:tcPr>
            <w:tcW w:w="1385" w:type="pct"/>
            <w:tcBorders>
              <w:top w:val="nil"/>
              <w:left w:val="nil"/>
              <w:bottom w:val="single" w:color="auto" w:sz="4" w:space="0"/>
              <w:right w:val="single" w:color="auto" w:sz="4" w:space="0"/>
            </w:tcBorders>
            <w:vAlign w:val="center"/>
          </w:tcPr>
          <w:p w14:paraId="75B7DA7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w:t>
            </w:r>
          </w:p>
        </w:tc>
        <w:tc>
          <w:tcPr>
            <w:tcW w:w="1091" w:type="pct"/>
            <w:tcBorders>
              <w:top w:val="nil"/>
              <w:left w:val="nil"/>
              <w:bottom w:val="single" w:color="auto" w:sz="4" w:space="0"/>
              <w:right w:val="single" w:color="auto" w:sz="4" w:space="0"/>
            </w:tcBorders>
            <w:vAlign w:val="center"/>
          </w:tcPr>
          <w:p w14:paraId="75B7DA8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256</w:t>
            </w:r>
          </w:p>
        </w:tc>
      </w:tr>
      <w:tr w14:paraId="75B7DA86">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8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块存储</w:t>
            </w:r>
          </w:p>
        </w:tc>
        <w:tc>
          <w:tcPr>
            <w:tcW w:w="1091" w:type="pct"/>
            <w:tcBorders>
              <w:top w:val="nil"/>
              <w:left w:val="nil"/>
              <w:bottom w:val="single" w:color="auto" w:sz="4" w:space="0"/>
              <w:right w:val="single" w:color="auto" w:sz="4" w:space="0"/>
            </w:tcBorders>
            <w:vAlign w:val="center"/>
          </w:tcPr>
          <w:p w14:paraId="75B7DA8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SAS</w:t>
            </w:r>
          </w:p>
        </w:tc>
        <w:tc>
          <w:tcPr>
            <w:tcW w:w="1385" w:type="pct"/>
            <w:tcBorders>
              <w:top w:val="nil"/>
              <w:left w:val="nil"/>
              <w:bottom w:val="single" w:color="auto" w:sz="4" w:space="0"/>
              <w:right w:val="single" w:color="auto" w:sz="4" w:space="0"/>
            </w:tcBorders>
            <w:vAlign w:val="center"/>
          </w:tcPr>
          <w:p w14:paraId="75B7DA8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w:t>
            </w:r>
          </w:p>
        </w:tc>
        <w:tc>
          <w:tcPr>
            <w:tcW w:w="1091" w:type="pct"/>
            <w:tcBorders>
              <w:top w:val="nil"/>
              <w:left w:val="nil"/>
              <w:bottom w:val="single" w:color="auto" w:sz="4" w:space="0"/>
              <w:right w:val="single" w:color="auto" w:sz="4" w:space="0"/>
            </w:tcBorders>
            <w:vAlign w:val="center"/>
          </w:tcPr>
          <w:p w14:paraId="75B7DA8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6144</w:t>
            </w:r>
          </w:p>
        </w:tc>
      </w:tr>
      <w:tr w14:paraId="75B7DA8B">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8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块存储</w:t>
            </w:r>
          </w:p>
        </w:tc>
        <w:tc>
          <w:tcPr>
            <w:tcW w:w="1091" w:type="pct"/>
            <w:tcBorders>
              <w:top w:val="nil"/>
              <w:left w:val="nil"/>
              <w:bottom w:val="single" w:color="auto" w:sz="4" w:space="0"/>
              <w:right w:val="single" w:color="auto" w:sz="4" w:space="0"/>
            </w:tcBorders>
            <w:vAlign w:val="center"/>
          </w:tcPr>
          <w:p w14:paraId="75B7DA8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高性能盘</w:t>
            </w:r>
          </w:p>
        </w:tc>
        <w:tc>
          <w:tcPr>
            <w:tcW w:w="1385" w:type="pct"/>
            <w:tcBorders>
              <w:top w:val="nil"/>
              <w:left w:val="nil"/>
              <w:bottom w:val="single" w:color="auto" w:sz="4" w:space="0"/>
              <w:right w:val="single" w:color="auto" w:sz="4" w:space="0"/>
            </w:tcBorders>
            <w:vAlign w:val="center"/>
          </w:tcPr>
          <w:p w14:paraId="75B7DA8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w:t>
            </w:r>
          </w:p>
        </w:tc>
        <w:tc>
          <w:tcPr>
            <w:tcW w:w="1091" w:type="pct"/>
            <w:tcBorders>
              <w:top w:val="nil"/>
              <w:left w:val="nil"/>
              <w:bottom w:val="single" w:color="auto" w:sz="4" w:space="0"/>
              <w:right w:val="single" w:color="auto" w:sz="4" w:space="0"/>
            </w:tcBorders>
            <w:vAlign w:val="center"/>
          </w:tcPr>
          <w:p w14:paraId="75B7DA8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500</w:t>
            </w:r>
          </w:p>
        </w:tc>
      </w:tr>
      <w:tr w14:paraId="75B7DA90">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8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对象存储</w:t>
            </w:r>
          </w:p>
        </w:tc>
        <w:tc>
          <w:tcPr>
            <w:tcW w:w="1091" w:type="pct"/>
            <w:tcBorders>
              <w:top w:val="nil"/>
              <w:left w:val="nil"/>
              <w:bottom w:val="single" w:color="auto" w:sz="4" w:space="0"/>
              <w:right w:val="single" w:color="auto" w:sz="4" w:space="0"/>
            </w:tcBorders>
            <w:vAlign w:val="center"/>
          </w:tcPr>
          <w:p w14:paraId="75B7DA8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c>
          <w:tcPr>
            <w:tcW w:w="1385" w:type="pct"/>
            <w:tcBorders>
              <w:top w:val="nil"/>
              <w:left w:val="nil"/>
              <w:bottom w:val="single" w:color="auto" w:sz="4" w:space="0"/>
              <w:right w:val="single" w:color="auto" w:sz="4" w:space="0"/>
            </w:tcBorders>
            <w:vAlign w:val="center"/>
          </w:tcPr>
          <w:p w14:paraId="75B7DA8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T</w:t>
            </w:r>
          </w:p>
        </w:tc>
        <w:tc>
          <w:tcPr>
            <w:tcW w:w="1091" w:type="pct"/>
            <w:tcBorders>
              <w:top w:val="nil"/>
              <w:left w:val="nil"/>
              <w:bottom w:val="single" w:color="auto" w:sz="4" w:space="0"/>
              <w:right w:val="single" w:color="auto" w:sz="4" w:space="0"/>
            </w:tcBorders>
            <w:vAlign w:val="center"/>
          </w:tcPr>
          <w:p w14:paraId="75B7DA8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500</w:t>
            </w:r>
          </w:p>
        </w:tc>
      </w:tr>
      <w:tr w14:paraId="75B7DA95">
        <w:tblPrEx>
          <w:tblCellMar>
            <w:top w:w="0" w:type="dxa"/>
            <w:left w:w="108" w:type="dxa"/>
            <w:bottom w:w="0" w:type="dxa"/>
            <w:right w:w="108" w:type="dxa"/>
          </w:tblCellMar>
        </w:tblPrEx>
        <w:trPr>
          <w:trHeight w:val="352" w:hRule="atLeast"/>
        </w:trPr>
        <w:tc>
          <w:tcPr>
            <w:tcW w:w="1431" w:type="pct"/>
            <w:tcBorders>
              <w:top w:val="nil"/>
              <w:left w:val="single" w:color="auto" w:sz="4" w:space="0"/>
              <w:bottom w:val="single" w:color="auto" w:sz="4" w:space="0"/>
              <w:right w:val="single" w:color="auto" w:sz="4" w:space="0"/>
            </w:tcBorders>
            <w:vAlign w:val="center"/>
          </w:tcPr>
          <w:p w14:paraId="75B7DA9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互联网出口</w:t>
            </w:r>
          </w:p>
        </w:tc>
        <w:tc>
          <w:tcPr>
            <w:tcW w:w="1091" w:type="pct"/>
            <w:tcBorders>
              <w:top w:val="nil"/>
              <w:left w:val="nil"/>
              <w:bottom w:val="single" w:color="auto" w:sz="4" w:space="0"/>
              <w:right w:val="single" w:color="auto" w:sz="4" w:space="0"/>
            </w:tcBorders>
            <w:vAlign w:val="center"/>
          </w:tcPr>
          <w:p w14:paraId="75B7DA9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c>
          <w:tcPr>
            <w:tcW w:w="1385" w:type="pct"/>
            <w:tcBorders>
              <w:top w:val="nil"/>
              <w:left w:val="nil"/>
              <w:bottom w:val="single" w:color="auto" w:sz="4" w:space="0"/>
              <w:right w:val="single" w:color="auto" w:sz="4" w:space="0"/>
            </w:tcBorders>
            <w:vAlign w:val="center"/>
          </w:tcPr>
          <w:p w14:paraId="75B7DA9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Gbps</w:t>
            </w:r>
          </w:p>
        </w:tc>
        <w:tc>
          <w:tcPr>
            <w:tcW w:w="1091" w:type="pct"/>
            <w:tcBorders>
              <w:top w:val="nil"/>
              <w:left w:val="nil"/>
              <w:bottom w:val="single" w:color="auto" w:sz="4" w:space="0"/>
              <w:right w:val="single" w:color="auto" w:sz="4" w:space="0"/>
            </w:tcBorders>
            <w:vAlign w:val="center"/>
          </w:tcPr>
          <w:p w14:paraId="75B7DA9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w:t>
            </w:r>
          </w:p>
        </w:tc>
      </w:tr>
      <w:tr w14:paraId="75B7DA9A">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9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二、算力资源　</w:t>
            </w:r>
          </w:p>
        </w:tc>
        <w:tc>
          <w:tcPr>
            <w:tcW w:w="1091" w:type="pct"/>
            <w:tcBorders>
              <w:top w:val="nil"/>
              <w:left w:val="nil"/>
              <w:bottom w:val="single" w:color="auto" w:sz="4" w:space="0"/>
              <w:right w:val="single" w:color="auto" w:sz="4" w:space="0"/>
            </w:tcBorders>
            <w:vAlign w:val="center"/>
          </w:tcPr>
          <w:p w14:paraId="75B7DA97">
            <w:pPr>
              <w:widowControl/>
              <w:autoSpaceDE/>
              <w:autoSpaceDN/>
              <w:spacing w:line="240" w:lineRule="auto"/>
              <w:ind w:firstLine="0" w:firstLineChars="0"/>
              <w:jc w:val="center"/>
              <w:rPr>
                <w:rFonts w:hint="eastAsia" w:ascii="仿宋_GB2312" w:hAnsi="等线"/>
                <w:sz w:val="21"/>
                <w:szCs w:val="21"/>
                <w:lang w:val="en-US" w:bidi="ar-SA"/>
              </w:rPr>
            </w:pPr>
          </w:p>
        </w:tc>
        <w:tc>
          <w:tcPr>
            <w:tcW w:w="1385" w:type="pct"/>
            <w:tcBorders>
              <w:top w:val="nil"/>
              <w:left w:val="nil"/>
              <w:bottom w:val="single" w:color="auto" w:sz="4" w:space="0"/>
              <w:right w:val="single" w:color="auto" w:sz="4" w:space="0"/>
            </w:tcBorders>
            <w:vAlign w:val="center"/>
          </w:tcPr>
          <w:p w14:paraId="75B7DA98">
            <w:pPr>
              <w:widowControl/>
              <w:autoSpaceDE/>
              <w:autoSpaceDN/>
              <w:spacing w:line="240" w:lineRule="auto"/>
              <w:ind w:firstLine="0" w:firstLineChars="0"/>
              <w:jc w:val="center"/>
              <w:rPr>
                <w:rFonts w:hint="eastAsia" w:ascii="仿宋_GB2312" w:hAnsi="等线"/>
                <w:sz w:val="21"/>
                <w:szCs w:val="21"/>
                <w:lang w:val="en-US" w:bidi="ar-SA"/>
              </w:rPr>
            </w:pPr>
          </w:p>
        </w:tc>
        <w:tc>
          <w:tcPr>
            <w:tcW w:w="1091" w:type="pct"/>
            <w:tcBorders>
              <w:top w:val="nil"/>
              <w:left w:val="nil"/>
              <w:bottom w:val="single" w:color="auto" w:sz="4" w:space="0"/>
              <w:right w:val="single" w:color="auto" w:sz="4" w:space="0"/>
            </w:tcBorders>
            <w:vAlign w:val="center"/>
          </w:tcPr>
          <w:p w14:paraId="75B7DA9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r>
      <w:tr w14:paraId="75B7DA9F">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9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GPU卡</w:t>
            </w:r>
          </w:p>
        </w:tc>
        <w:tc>
          <w:tcPr>
            <w:tcW w:w="1091" w:type="pct"/>
            <w:tcBorders>
              <w:top w:val="nil"/>
              <w:left w:val="nil"/>
              <w:bottom w:val="single" w:color="auto" w:sz="4" w:space="0"/>
              <w:right w:val="single" w:color="auto" w:sz="4" w:space="0"/>
            </w:tcBorders>
            <w:vAlign w:val="center"/>
          </w:tcPr>
          <w:p w14:paraId="75B7DA9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c>
          <w:tcPr>
            <w:tcW w:w="1385" w:type="pct"/>
            <w:tcBorders>
              <w:top w:val="nil"/>
              <w:left w:val="nil"/>
              <w:bottom w:val="single" w:color="auto" w:sz="4" w:space="0"/>
              <w:right w:val="single" w:color="auto" w:sz="4" w:space="0"/>
            </w:tcBorders>
            <w:vAlign w:val="center"/>
          </w:tcPr>
          <w:p w14:paraId="75B7DA9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实例</w:t>
            </w:r>
          </w:p>
        </w:tc>
        <w:tc>
          <w:tcPr>
            <w:tcW w:w="1091" w:type="pct"/>
            <w:tcBorders>
              <w:top w:val="nil"/>
              <w:left w:val="nil"/>
              <w:bottom w:val="single" w:color="auto" w:sz="4" w:space="0"/>
              <w:right w:val="single" w:color="auto" w:sz="4" w:space="0"/>
            </w:tcBorders>
            <w:vAlign w:val="center"/>
          </w:tcPr>
          <w:p w14:paraId="75B7DA9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3</w:t>
            </w:r>
          </w:p>
        </w:tc>
      </w:tr>
      <w:tr w14:paraId="75B7DAA4">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A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cpu</w:t>
            </w:r>
          </w:p>
        </w:tc>
        <w:tc>
          <w:tcPr>
            <w:tcW w:w="1091" w:type="pct"/>
            <w:tcBorders>
              <w:top w:val="nil"/>
              <w:left w:val="nil"/>
              <w:bottom w:val="single" w:color="auto" w:sz="4" w:space="0"/>
              <w:right w:val="single" w:color="auto" w:sz="4" w:space="0"/>
            </w:tcBorders>
            <w:vAlign w:val="center"/>
          </w:tcPr>
          <w:p w14:paraId="75B7DAA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c>
          <w:tcPr>
            <w:tcW w:w="1385" w:type="pct"/>
            <w:tcBorders>
              <w:top w:val="nil"/>
              <w:left w:val="nil"/>
              <w:bottom w:val="single" w:color="auto" w:sz="4" w:space="0"/>
              <w:right w:val="single" w:color="auto" w:sz="4" w:space="0"/>
            </w:tcBorders>
            <w:vAlign w:val="center"/>
          </w:tcPr>
          <w:p w14:paraId="75B7DAA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vcpu</w:t>
            </w:r>
          </w:p>
        </w:tc>
        <w:tc>
          <w:tcPr>
            <w:tcW w:w="1091" w:type="pct"/>
            <w:tcBorders>
              <w:top w:val="nil"/>
              <w:left w:val="nil"/>
              <w:bottom w:val="single" w:color="auto" w:sz="4" w:space="0"/>
              <w:right w:val="single" w:color="auto" w:sz="4" w:space="0"/>
            </w:tcBorders>
            <w:vAlign w:val="center"/>
          </w:tcPr>
          <w:p w14:paraId="75B7DAA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20</w:t>
            </w:r>
          </w:p>
        </w:tc>
      </w:tr>
      <w:tr w14:paraId="75B7DAA9">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A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内存</w:t>
            </w:r>
          </w:p>
        </w:tc>
        <w:tc>
          <w:tcPr>
            <w:tcW w:w="1091" w:type="pct"/>
            <w:tcBorders>
              <w:top w:val="nil"/>
              <w:left w:val="nil"/>
              <w:bottom w:val="single" w:color="auto" w:sz="4" w:space="0"/>
              <w:right w:val="single" w:color="auto" w:sz="4" w:space="0"/>
            </w:tcBorders>
            <w:vAlign w:val="center"/>
          </w:tcPr>
          <w:p w14:paraId="75B7DAA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　</w:t>
            </w:r>
          </w:p>
        </w:tc>
        <w:tc>
          <w:tcPr>
            <w:tcW w:w="1385" w:type="pct"/>
            <w:tcBorders>
              <w:top w:val="nil"/>
              <w:left w:val="nil"/>
              <w:bottom w:val="single" w:color="auto" w:sz="4" w:space="0"/>
              <w:right w:val="single" w:color="auto" w:sz="4" w:space="0"/>
            </w:tcBorders>
            <w:vAlign w:val="center"/>
          </w:tcPr>
          <w:p w14:paraId="75B7DAA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w:t>
            </w:r>
          </w:p>
        </w:tc>
        <w:tc>
          <w:tcPr>
            <w:tcW w:w="1091" w:type="pct"/>
            <w:tcBorders>
              <w:top w:val="nil"/>
              <w:left w:val="nil"/>
              <w:bottom w:val="single" w:color="auto" w:sz="4" w:space="0"/>
              <w:right w:val="single" w:color="auto" w:sz="4" w:space="0"/>
            </w:tcBorders>
            <w:vAlign w:val="center"/>
          </w:tcPr>
          <w:p w14:paraId="75B7DAA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56</w:t>
            </w:r>
          </w:p>
        </w:tc>
      </w:tr>
      <w:tr w14:paraId="75B7DAAE">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A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块存储</w:t>
            </w:r>
          </w:p>
        </w:tc>
        <w:tc>
          <w:tcPr>
            <w:tcW w:w="1091" w:type="pct"/>
            <w:tcBorders>
              <w:top w:val="nil"/>
              <w:left w:val="nil"/>
              <w:bottom w:val="single" w:color="auto" w:sz="4" w:space="0"/>
              <w:right w:val="single" w:color="auto" w:sz="4" w:space="0"/>
            </w:tcBorders>
            <w:vAlign w:val="center"/>
          </w:tcPr>
          <w:p w14:paraId="75B7DAA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SAS</w:t>
            </w:r>
          </w:p>
        </w:tc>
        <w:tc>
          <w:tcPr>
            <w:tcW w:w="1385" w:type="pct"/>
            <w:tcBorders>
              <w:top w:val="nil"/>
              <w:left w:val="nil"/>
              <w:bottom w:val="single" w:color="auto" w:sz="4" w:space="0"/>
              <w:right w:val="single" w:color="auto" w:sz="4" w:space="0"/>
            </w:tcBorders>
            <w:vAlign w:val="center"/>
          </w:tcPr>
          <w:p w14:paraId="75B7DAA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w:t>
            </w:r>
          </w:p>
        </w:tc>
        <w:tc>
          <w:tcPr>
            <w:tcW w:w="1091" w:type="pct"/>
            <w:tcBorders>
              <w:top w:val="nil"/>
              <w:left w:val="nil"/>
              <w:bottom w:val="single" w:color="auto" w:sz="4" w:space="0"/>
              <w:right w:val="single" w:color="auto" w:sz="4" w:space="0"/>
            </w:tcBorders>
            <w:vAlign w:val="center"/>
          </w:tcPr>
          <w:p w14:paraId="75B7DAA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1280</w:t>
            </w:r>
          </w:p>
        </w:tc>
      </w:tr>
      <w:tr w14:paraId="75B7DAB3">
        <w:tblPrEx>
          <w:tblCellMar>
            <w:top w:w="0" w:type="dxa"/>
            <w:left w:w="108" w:type="dxa"/>
            <w:bottom w:w="0" w:type="dxa"/>
            <w:right w:w="108" w:type="dxa"/>
          </w:tblCellMar>
        </w:tblPrEx>
        <w:trPr>
          <w:trHeight w:val="276" w:hRule="atLeast"/>
        </w:trPr>
        <w:tc>
          <w:tcPr>
            <w:tcW w:w="1431" w:type="pct"/>
            <w:tcBorders>
              <w:top w:val="nil"/>
              <w:left w:val="single" w:color="auto" w:sz="4" w:space="0"/>
              <w:bottom w:val="single" w:color="auto" w:sz="4" w:space="0"/>
              <w:right w:val="single" w:color="auto" w:sz="4" w:space="0"/>
            </w:tcBorders>
            <w:vAlign w:val="center"/>
          </w:tcPr>
          <w:p w14:paraId="75B7DAA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数据库</w:t>
            </w:r>
          </w:p>
        </w:tc>
        <w:tc>
          <w:tcPr>
            <w:tcW w:w="1091" w:type="pct"/>
            <w:tcBorders>
              <w:top w:val="nil"/>
              <w:left w:val="nil"/>
              <w:bottom w:val="single" w:color="auto" w:sz="4" w:space="0"/>
              <w:right w:val="single" w:color="auto" w:sz="4" w:space="0"/>
            </w:tcBorders>
            <w:vAlign w:val="center"/>
          </w:tcPr>
          <w:p w14:paraId="75B7DAB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国产化数据库</w:t>
            </w:r>
          </w:p>
        </w:tc>
        <w:tc>
          <w:tcPr>
            <w:tcW w:w="1385" w:type="pct"/>
            <w:tcBorders>
              <w:top w:val="nil"/>
              <w:left w:val="nil"/>
              <w:bottom w:val="single" w:color="auto" w:sz="4" w:space="0"/>
              <w:right w:val="single" w:color="auto" w:sz="4" w:space="0"/>
            </w:tcBorders>
            <w:vAlign w:val="center"/>
          </w:tcPr>
          <w:p w14:paraId="75B7DAB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实例</w:t>
            </w:r>
          </w:p>
        </w:tc>
        <w:tc>
          <w:tcPr>
            <w:tcW w:w="1091" w:type="pct"/>
            <w:tcBorders>
              <w:top w:val="nil"/>
              <w:left w:val="nil"/>
              <w:bottom w:val="single" w:color="auto" w:sz="4" w:space="0"/>
              <w:right w:val="single" w:color="auto" w:sz="4" w:space="0"/>
            </w:tcBorders>
            <w:vAlign w:val="center"/>
          </w:tcPr>
          <w:p w14:paraId="75B7DAB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w:t>
            </w:r>
          </w:p>
        </w:tc>
      </w:tr>
    </w:tbl>
    <w:p w14:paraId="75B7DAB4">
      <w:pPr>
        <w:pStyle w:val="3"/>
      </w:pPr>
      <w:bookmarkStart w:id="83" w:name="_Toc4756"/>
      <w:bookmarkStart w:id="84" w:name="_Toc20873"/>
      <w:bookmarkStart w:id="85" w:name="_Toc23663"/>
      <w:bookmarkStart w:id="86" w:name="_Toc26716"/>
      <w:bookmarkStart w:id="87" w:name="_Toc10356"/>
      <w:r>
        <w:t>安全防护需求分析</w:t>
      </w:r>
      <w:bookmarkEnd w:id="83"/>
      <w:bookmarkEnd w:id="84"/>
      <w:bookmarkEnd w:id="85"/>
      <w:bookmarkEnd w:id="86"/>
      <w:bookmarkEnd w:id="87"/>
    </w:p>
    <w:p w14:paraId="75B7DAB5">
      <w:pPr>
        <w:pStyle w:val="4"/>
        <w:rPr>
          <w:rFonts w:hint="eastAsia"/>
        </w:rPr>
      </w:pPr>
      <w:bookmarkStart w:id="88" w:name="_Toc13488"/>
      <w:bookmarkStart w:id="89" w:name="_Toc32605"/>
      <w:r>
        <w:t>等保安全合规需求分析</w:t>
      </w:r>
      <w:bookmarkEnd w:id="88"/>
      <w:bookmarkEnd w:id="89"/>
    </w:p>
    <w:p w14:paraId="75B7DAB6">
      <w:pPr>
        <w:ind w:left="-2" w:leftChars="-1" w:firstLine="480"/>
        <w:rPr>
          <w:rFonts w:hint="eastAsia"/>
          <w:lang w:val="en-US"/>
        </w:rPr>
      </w:pPr>
      <w:r>
        <w:rPr>
          <w:rFonts w:hint="eastAsia"/>
          <w:lang w:val="en-US"/>
        </w:rPr>
        <w:t>本项目信息安全建设将全面落实《中华人民共和国网络安全法》及《网络安全等级保护条例》等法律规范，项目建设符合国家标准的安全等级保护2.0标准GB/T22239–2019《信息安全技术网络安全等级保护基本要求》，参照等级保护三级标准进行建设和测评。</w:t>
      </w:r>
    </w:p>
    <w:p w14:paraId="75B7DAB7">
      <w:pPr>
        <w:pStyle w:val="4"/>
        <w:rPr>
          <w:rFonts w:hint="eastAsia"/>
        </w:rPr>
      </w:pPr>
      <w:bookmarkStart w:id="90" w:name="_Toc7791"/>
      <w:bookmarkStart w:id="91" w:name="_Toc20103"/>
      <w:r>
        <w:t>云环境安全需求分析</w:t>
      </w:r>
      <w:bookmarkEnd w:id="90"/>
      <w:bookmarkEnd w:id="91"/>
    </w:p>
    <w:p w14:paraId="75B7DAB8">
      <w:pPr>
        <w:ind w:left="-2" w:leftChars="-1" w:firstLine="480"/>
        <w:rPr>
          <w:rFonts w:hint="eastAsia"/>
          <w:lang w:val="en-US"/>
        </w:rPr>
      </w:pPr>
      <w:r>
        <w:rPr>
          <w:rFonts w:hint="eastAsia"/>
          <w:lang w:val="en-US"/>
        </w:rPr>
        <w:t>本项目软件平台部署在云上，云平台安全风险来自多个层面，包括物理环境、通信网络、区域边界、计算环境和安全管理等。云由</w:t>
      </w:r>
      <w:r>
        <w:rPr>
          <w:rFonts w:hint="eastAsia"/>
          <w:lang w:val="en-US" w:eastAsia="zh-CN"/>
        </w:rPr>
        <w:t>云提供商</w:t>
      </w:r>
      <w:r>
        <w:rPr>
          <w:rFonts w:hint="eastAsia"/>
          <w:lang w:val="en-US"/>
        </w:rPr>
        <w:t>自主建设在建设之初就已经考虑平台的安全风险，确保云平台能够满足三级等保合规要求，使业务系统满足基础防护要求和等级保护级建设。</w:t>
      </w:r>
    </w:p>
    <w:p w14:paraId="75B7DAB9">
      <w:pPr>
        <w:pStyle w:val="4"/>
        <w:rPr>
          <w:rFonts w:hint="eastAsia"/>
        </w:rPr>
      </w:pPr>
      <w:bookmarkStart w:id="92" w:name="_Toc24431"/>
      <w:bookmarkStart w:id="93" w:name="_Toc24902"/>
      <w:r>
        <w:t>应用安全防护需求分析</w:t>
      </w:r>
      <w:bookmarkEnd w:id="92"/>
      <w:bookmarkEnd w:id="93"/>
    </w:p>
    <w:p w14:paraId="75B7DABA">
      <w:pPr>
        <w:ind w:left="-2" w:leftChars="-1" w:firstLine="480"/>
        <w:rPr>
          <w:rFonts w:hint="eastAsia"/>
          <w:lang w:val="en-US"/>
        </w:rPr>
      </w:pPr>
      <w:r>
        <w:rPr>
          <w:rFonts w:hint="eastAsia"/>
          <w:lang w:val="en-US"/>
        </w:rPr>
        <w:t>本项目涉及多个应用系统，业务系统对外提供访问服务存在访问的不可信性，可能会来自外部的恶意用户攻击。系统可能面临如下种类的攻击：黑客攻击、专业罪犯攻击、内部人员攻击以及蓄意破坏者攻击等。外网常见的攻击方式主要包含：SQL注入、跨站脚本攻击、恶意代码、CC攻击、缓冲区溢出、Cookie假冒、认证逃避、非法输入、强制访问、隐藏变量篡改以及APT攻击等。这些应用层的攻击危害业务系统的稳定运行，甚至造成数据泄密和恶意代码的传播。</w:t>
      </w:r>
    </w:p>
    <w:p w14:paraId="75B7DABB">
      <w:pPr>
        <w:ind w:left="-2" w:leftChars="-1" w:firstLine="480"/>
        <w:rPr>
          <w:rFonts w:hint="eastAsia"/>
          <w:lang w:val="en-US"/>
        </w:rPr>
      </w:pPr>
      <w:r>
        <w:rPr>
          <w:rFonts w:hint="eastAsia"/>
          <w:lang w:val="en-US"/>
        </w:rPr>
        <w:t>除了考虑面向外部的子系统被攻击的风险外，还需考虑应用系统与内部系统运维的安全风险。来自内部的威胁主要来源于内部人员恶意破坏、管理人员滥用职权、执行人员操作不当、内部管理疏漏、软硬件缺陷等。由于内部人员具有一定权限，能够直接接触重要信息，并且了解业务系统的安全防御措施和管理手段，因此，相对于外部用户而言，其更容易规避安全保障措施，利用系统安全防御措施的漏洞或管理体系的弱点，从内部发起攻击或越权访问来破坏系统的安全，或者造成业务数据泄露的风险。</w:t>
      </w:r>
    </w:p>
    <w:p w14:paraId="75B7DABC">
      <w:pPr>
        <w:pStyle w:val="4"/>
        <w:rPr>
          <w:rFonts w:hint="eastAsia"/>
        </w:rPr>
      </w:pPr>
      <w:bookmarkStart w:id="94" w:name="_Toc13467"/>
      <w:bookmarkStart w:id="95" w:name="_Toc22092"/>
      <w:r>
        <w:t>数据安全保护需求分析</w:t>
      </w:r>
      <w:bookmarkEnd w:id="94"/>
      <w:bookmarkEnd w:id="95"/>
    </w:p>
    <w:p w14:paraId="75B7DABD">
      <w:pPr>
        <w:ind w:left="-2" w:leftChars="-1" w:firstLine="480"/>
        <w:rPr>
          <w:rFonts w:hint="eastAsia"/>
          <w:lang w:val="en-US"/>
        </w:rPr>
      </w:pPr>
      <w:r>
        <w:rPr>
          <w:rFonts w:hint="eastAsia"/>
          <w:lang w:val="en-US"/>
        </w:rPr>
        <w:t>本项目涉及多个业务数据库和主题库的建设，且均用来存储综合监管数据，因此需要充分考虑数据的安全保护，充分分析安全风险，提前做好防护措施，避免数据安全事故的发生。</w:t>
      </w:r>
    </w:p>
    <w:p w14:paraId="75B7DABE">
      <w:pPr>
        <w:ind w:left="-2" w:leftChars="-1" w:firstLine="480"/>
        <w:rPr>
          <w:rFonts w:hint="eastAsia"/>
          <w:lang w:val="en-US"/>
        </w:rPr>
      </w:pPr>
      <w:r>
        <w:rPr>
          <w:rFonts w:hint="eastAsia"/>
          <w:lang w:val="en-US"/>
        </w:rPr>
        <w:t>信息系统处理的各种数据（用户数据、系统数据、业务数据等）在维持系统正常运行上起着至关重要的作用。一旦数据遭到破坏（泄漏、修改、毁坏），都会在不同程度上造成影响，从而危害到整个安联网平台和安联网平台的正常运行，敏感数据泄密等风险。</w:t>
      </w:r>
    </w:p>
    <w:p w14:paraId="75B7DABF">
      <w:pPr>
        <w:ind w:left="-2" w:leftChars="-1" w:firstLine="480"/>
        <w:rPr>
          <w:rFonts w:hint="eastAsia"/>
          <w:lang w:val="en-US"/>
        </w:rPr>
      </w:pPr>
      <w:r>
        <w:rPr>
          <w:rFonts w:hint="eastAsia"/>
          <w:lang w:val="en-US"/>
        </w:rPr>
        <w:t>政府层面的数据安全防护目标可以根据数据属性类型和重要敏感程度划分为三个层次：基础层是数据自身安全，保障目标是维护网络数据的完整性、保密性和可用性，防止网络数据泄漏或者被窃取、篡改。第二层是个人信息保护，保障目标是在保障数据自身安全的同时，保障信息主体对个人信息的控制权利，维护公民个人合法权益。最上层是政府层面的数据安全，保障目标是在保障数据自身安全的同时，强化政府单位对重要数据的掌控能力，防止政府单位重要数据遭恶意使用，对国家安全造成威胁。</w:t>
      </w:r>
    </w:p>
    <w:p w14:paraId="75B7DAC0">
      <w:pPr>
        <w:pStyle w:val="4"/>
        <w:rPr>
          <w:rFonts w:hint="eastAsia"/>
        </w:rPr>
      </w:pPr>
      <w:bookmarkStart w:id="96" w:name="_Toc9666"/>
      <w:bookmarkStart w:id="97" w:name="_Toc31277"/>
      <w:bookmarkStart w:id="98" w:name="_Toc30821"/>
      <w:bookmarkStart w:id="99" w:name="_Toc29662"/>
      <w:bookmarkStart w:id="100" w:name="_Toc9603"/>
      <w:r>
        <w:t>安全运维需求分析</w:t>
      </w:r>
      <w:bookmarkEnd w:id="96"/>
      <w:bookmarkEnd w:id="97"/>
      <w:bookmarkEnd w:id="98"/>
      <w:bookmarkEnd w:id="99"/>
      <w:bookmarkEnd w:id="100"/>
    </w:p>
    <w:p w14:paraId="75B7DAC1">
      <w:pPr>
        <w:ind w:left="-2" w:leftChars="-1" w:firstLine="480"/>
        <w:rPr>
          <w:rFonts w:hint="eastAsia"/>
          <w:lang w:val="en-US"/>
        </w:rPr>
      </w:pPr>
      <w:r>
        <w:rPr>
          <w:rFonts w:hint="eastAsia"/>
          <w:lang w:val="en-US"/>
        </w:rPr>
        <w:t>以往信息系统建设过程中存在一定程度的重建设、轻运营的思想。系统的便捷性、可用性成为项目建设的重点，随着系统建设的层层叠加、IT管理的日益复杂、数据交互的渠道多样化，安全运营隐患逐步凸显。如果无安全配套的运营体系，建设好的安全防护体系起不到好的防护效果，安全威胁与攻击觉察不到位，系统漏洞与入侵，数据被盗与泄露，业务被攻击与篡改无法及时发现并进行快速处置和响应，安全防护体系得不到有效的保障，安全问题无法闭环处理。</w:t>
      </w:r>
    </w:p>
    <w:p w14:paraId="75B7DAC2">
      <w:pPr>
        <w:pStyle w:val="4"/>
        <w:rPr>
          <w:rFonts w:hint="eastAsia"/>
        </w:rPr>
      </w:pPr>
      <w:bookmarkStart w:id="101" w:name="_Toc12831"/>
      <w:bookmarkStart w:id="102" w:name="_Toc10990"/>
      <w:bookmarkStart w:id="103" w:name="_Toc13936"/>
      <w:bookmarkStart w:id="104" w:name="_Toc8038"/>
      <w:bookmarkStart w:id="105" w:name="_Toc14387"/>
      <w:r>
        <w:t>安全管理需求分析</w:t>
      </w:r>
      <w:bookmarkEnd w:id="101"/>
      <w:bookmarkEnd w:id="102"/>
      <w:bookmarkEnd w:id="103"/>
      <w:bookmarkEnd w:id="104"/>
      <w:bookmarkEnd w:id="105"/>
    </w:p>
    <w:p w14:paraId="75B7DAC3">
      <w:pPr>
        <w:ind w:left="-2" w:leftChars="-1" w:firstLine="480"/>
        <w:rPr>
          <w:rFonts w:hint="eastAsia"/>
          <w:lang w:val="en-US"/>
        </w:rPr>
      </w:pPr>
      <w:r>
        <w:rPr>
          <w:rFonts w:hint="eastAsia"/>
          <w:lang w:val="en-US"/>
        </w:rPr>
        <w:t>信息系统安全总体目标是建立和完善与用户业务系统信息化发展水平相适应的信息安全保障体系，确保信息系统和IT基础设施的正常运行，有效防范信息技术风险，增强网络与信息系统安全预警、应急处置和灾难恢复能力，满足用户业务正常开展的安全性要求，是提高用户信息安全保障能力与水平有力保障。在等级保护建设和测评中，信息系统安全管理是重要组成部分，信息安全管理建设不到位也将无法满足等保合规要求。</w:t>
      </w:r>
    </w:p>
    <w:p w14:paraId="75B7DAC4">
      <w:pPr>
        <w:pStyle w:val="3"/>
      </w:pPr>
      <w:bookmarkStart w:id="106" w:name="bookmark75"/>
      <w:bookmarkEnd w:id="106"/>
      <w:bookmarkStart w:id="107" w:name="bookmark74"/>
      <w:bookmarkEnd w:id="107"/>
      <w:bookmarkStart w:id="108" w:name="_Toc12629"/>
      <w:bookmarkStart w:id="109" w:name="_Toc20633"/>
      <w:bookmarkStart w:id="110" w:name="_Toc30620"/>
      <w:bookmarkStart w:id="111" w:name="_Toc12185"/>
      <w:bookmarkStart w:id="112" w:name="_Toc7573"/>
      <w:r>
        <w:t>密码应用需求分析</w:t>
      </w:r>
      <w:bookmarkEnd w:id="108"/>
      <w:bookmarkEnd w:id="109"/>
      <w:bookmarkEnd w:id="110"/>
      <w:bookmarkEnd w:id="111"/>
      <w:bookmarkEnd w:id="112"/>
    </w:p>
    <w:p w14:paraId="75B7DAC5">
      <w:pPr>
        <w:ind w:left="-2" w:leftChars="-1" w:firstLine="480"/>
        <w:rPr>
          <w:rFonts w:hint="eastAsia"/>
          <w:lang w:val="en-US"/>
        </w:rPr>
      </w:pPr>
      <w:bookmarkStart w:id="113" w:name="_Toc15264"/>
      <w:r>
        <w:rPr>
          <w:rFonts w:hint="eastAsia"/>
          <w:lang w:val="en-US"/>
        </w:rPr>
        <w:t>（1）可信身份的安全需求</w:t>
      </w:r>
      <w:bookmarkEnd w:id="113"/>
    </w:p>
    <w:p w14:paraId="75B7DAC6">
      <w:pPr>
        <w:ind w:left="-2" w:leftChars="-1" w:firstLine="480"/>
        <w:rPr>
          <w:rFonts w:hint="eastAsia"/>
          <w:lang w:val="en-US"/>
        </w:rPr>
      </w:pPr>
      <w:r>
        <w:rPr>
          <w:rFonts w:hint="eastAsia"/>
          <w:lang w:val="en-US"/>
        </w:rPr>
        <w:t>登录是进行信息系统的第一道门户，也是正确使用信息系统需要做的第一件事，登录意味着需要对用户进行鉴权和认证。身份鉴权/认证是信息系统最重要的组成部分，也是系统安全体系的基础。</w:t>
      </w:r>
    </w:p>
    <w:p w14:paraId="75B7DAC7">
      <w:pPr>
        <w:ind w:left="-2" w:leftChars="-1" w:firstLine="480"/>
        <w:rPr>
          <w:rFonts w:hint="eastAsia"/>
          <w:lang w:val="en-US"/>
        </w:rPr>
      </w:pPr>
      <w:bookmarkStart w:id="114" w:name="_Toc12908"/>
      <w:r>
        <w:rPr>
          <w:rFonts w:hint="eastAsia"/>
          <w:lang w:val="en-US"/>
        </w:rPr>
        <w:t>（2）通信链路的安全需求</w:t>
      </w:r>
      <w:bookmarkEnd w:id="114"/>
    </w:p>
    <w:p w14:paraId="75B7DAC8">
      <w:pPr>
        <w:ind w:left="-2" w:leftChars="-1" w:firstLine="480"/>
        <w:rPr>
          <w:rFonts w:hint="eastAsia"/>
          <w:lang w:val="en-US"/>
        </w:rPr>
      </w:pPr>
      <w:r>
        <w:rPr>
          <w:rFonts w:hint="eastAsia"/>
          <w:lang w:val="en-US"/>
        </w:rPr>
        <w:t>系统平台要实现与其他平台互联互通必将依赖网络传输数据，因此网络的链路通道安全问题显得至关重要。</w:t>
      </w:r>
    </w:p>
    <w:p w14:paraId="75B7DAC9">
      <w:pPr>
        <w:ind w:left="-2" w:leftChars="-1" w:firstLine="480"/>
        <w:rPr>
          <w:rFonts w:hint="eastAsia"/>
          <w:lang w:val="en-US"/>
        </w:rPr>
      </w:pPr>
      <w:bookmarkStart w:id="115" w:name="_Toc14639"/>
      <w:r>
        <w:rPr>
          <w:rFonts w:hint="eastAsia"/>
          <w:lang w:val="en-US"/>
        </w:rPr>
        <w:t>（3）数据加密的安全需求</w:t>
      </w:r>
      <w:bookmarkEnd w:id="115"/>
    </w:p>
    <w:p w14:paraId="75B7DACA">
      <w:pPr>
        <w:ind w:left="-2" w:leftChars="-1" w:firstLine="480"/>
        <w:rPr>
          <w:rFonts w:hint="eastAsia"/>
          <w:lang w:val="en-US"/>
        </w:rPr>
      </w:pPr>
      <w:r>
        <w:rPr>
          <w:rFonts w:hint="eastAsia"/>
          <w:lang w:val="en-US"/>
        </w:rPr>
        <w:t>数据泄露指将机密信息、私人信息或其他敏感信息发布到不安全的环境中。数据泄露可能由意外引起，也可能是蓄意攻击的结果。因此，在数据存储的场景下，除了要对自身的存储环境进行安全加固外，还需要对数据自身进行加密保护，从而确保数据存储的安全。</w:t>
      </w:r>
    </w:p>
    <w:p w14:paraId="75B7DACB">
      <w:pPr>
        <w:ind w:firstLine="480"/>
        <w:rPr>
          <w:rFonts w:hint="eastAsia"/>
          <w:lang w:val="en-US"/>
        </w:rPr>
      </w:pPr>
    </w:p>
    <w:p w14:paraId="75B7DACC">
      <w:pPr>
        <w:pStyle w:val="2"/>
        <w:rPr>
          <w:rFonts w:hint="eastAsia"/>
          <w:lang w:val="en-US"/>
        </w:rPr>
      </w:pPr>
      <w:bookmarkStart w:id="116" w:name="_Toc12832"/>
      <w:bookmarkStart w:id="117" w:name="_Toc31180"/>
      <w:r>
        <w:rPr>
          <w:rFonts w:hint="eastAsia"/>
          <w:lang w:val="en-US"/>
        </w:rPr>
        <w:t>项目总体建设方案</w:t>
      </w:r>
      <w:bookmarkEnd w:id="116"/>
      <w:bookmarkEnd w:id="117"/>
      <w:r>
        <w:rPr>
          <w:rFonts w:hint="eastAsia"/>
          <w:lang w:val="en-US"/>
        </w:rPr>
        <w:t xml:space="preserve"> </w:t>
      </w:r>
    </w:p>
    <w:p w14:paraId="75B7DACD">
      <w:pPr>
        <w:pStyle w:val="3"/>
        <w:rPr>
          <w:lang w:val="en-US"/>
        </w:rPr>
      </w:pPr>
      <w:bookmarkStart w:id="118" w:name="_Toc28693"/>
      <w:bookmarkStart w:id="119" w:name="_Toc20995"/>
      <w:r>
        <w:rPr>
          <w:rFonts w:hint="eastAsia"/>
          <w:lang w:val="en-US"/>
        </w:rPr>
        <w:t>总体设计原则</w:t>
      </w:r>
      <w:bookmarkEnd w:id="118"/>
      <w:bookmarkEnd w:id="119"/>
    </w:p>
    <w:p w14:paraId="75B7DACE">
      <w:pPr>
        <w:pStyle w:val="4"/>
        <w:rPr>
          <w:rFonts w:hint="eastAsia"/>
        </w:rPr>
      </w:pPr>
      <w:bookmarkStart w:id="120" w:name="_Toc3319"/>
      <w:bookmarkStart w:id="121" w:name="_Toc22247"/>
      <w:r>
        <w:rPr>
          <w:rFonts w:hint="eastAsia"/>
        </w:rPr>
        <w:t>设计原则</w:t>
      </w:r>
      <w:bookmarkEnd w:id="120"/>
    </w:p>
    <w:p w14:paraId="75B7DACF">
      <w:pPr>
        <w:ind w:firstLine="480"/>
        <w:rPr>
          <w:rFonts w:hint="eastAsia"/>
          <w:lang w:val="en-US"/>
        </w:rPr>
      </w:pPr>
      <w:r>
        <w:rPr>
          <w:rFonts w:hint="eastAsia"/>
          <w:lang w:val="en-US"/>
        </w:rPr>
        <w:t>一、统筹建设</w:t>
      </w:r>
    </w:p>
    <w:p w14:paraId="75B7DAD0">
      <w:pPr>
        <w:ind w:firstLine="480"/>
        <w:rPr>
          <w:rFonts w:hint="eastAsia"/>
          <w:lang w:val="en-US"/>
        </w:rPr>
      </w:pPr>
      <w:r>
        <w:rPr>
          <w:rFonts w:hint="eastAsia"/>
          <w:lang w:val="en-US"/>
        </w:rPr>
        <w:t>严格遵循“全域统筹、系统布局、协同联动”的核心思路，以项目区森林火灾防控实际需求为导向，衔接《全国森林防火规划（2016—2025年）》《湖南省森林防火规划（2018—2025年）》等上位规划，确保设计方案与国家、省级森林防火战略布局一致。在空间维度上，统筹岳阳本级及平江县、汨罗市、岳阳县、临湘市、云溪区等建设区域，结合各区县火险等级差异（如临湘市国有林场集中、云溪区毗邻化工厂）差异化布局设施：平江县重点强化航空火情监测覆盖，云溪区侧重以水灭火系统与应急通信协同，避免区域间重复建设或防控盲区。在功能维度上，统筹预警监测、森林防火通信、森林消防队伍能力三大体系设计，确保无人机巡护与地面视频监控无缝衔接、通信网络与调度中心互联互通、消防队伍装备与物资储备库高效匹配，形成“天空地”一体化防控格局，同时充分利用项目区现有铁塔、电力、路网等公共资源，降低建设成本，提升整体防控效能。</w:t>
      </w:r>
    </w:p>
    <w:p w14:paraId="75B7DAD1">
      <w:pPr>
        <w:ind w:firstLine="480"/>
        <w:rPr>
          <w:rFonts w:hint="eastAsia"/>
          <w:lang w:val="en-US"/>
        </w:rPr>
      </w:pPr>
      <w:r>
        <w:rPr>
          <w:rFonts w:hint="eastAsia"/>
          <w:lang w:val="en-US"/>
        </w:rPr>
        <w:t>二、效益牵引</w:t>
      </w:r>
    </w:p>
    <w:p w14:paraId="75B7DAD2">
      <w:pPr>
        <w:ind w:firstLine="480"/>
        <w:rPr>
          <w:rFonts w:hint="eastAsia"/>
          <w:lang w:val="en-US"/>
        </w:rPr>
      </w:pPr>
      <w:r>
        <w:rPr>
          <w:rFonts w:hint="eastAsia"/>
          <w:lang w:val="en-US"/>
        </w:rPr>
        <w:t>以“生态优先、社会为本、兼顾效益”为导向，将生态效益、社会效益与潜在经济效益贯穿设计全过程。在生态效益层面，通过优化预警监测系统，提升火情早期发现与快速处置能力，减少森林火灾对项目区55.75万公顷林地、1344万立方米活立木蓄积及珍稀动植物的破坏，维护生物多样性与生态平衡。在社会效益层面，聚焦“24小时火灾扑灭率≥95%、森林火灾受害率≤0.9‰”的核心目标，通过标准化建设专业消防队伍，强化林区人员安全保障，避免重特大火灾及人员伤亡事件，维护区域社会稳定。在经济效益层面，通过精准配置设备、优化工程建设成本，降低项目运维成本，同时减少火灾导致的林木损失、旅游资源破坏等间接经济损耗，实现“以最小投入获最大防控效益”。</w:t>
      </w:r>
    </w:p>
    <w:p w14:paraId="75B7DAD3">
      <w:pPr>
        <w:ind w:firstLine="480"/>
        <w:rPr>
          <w:rFonts w:hint="eastAsia"/>
          <w:lang w:val="en-US"/>
        </w:rPr>
      </w:pPr>
      <w:r>
        <w:rPr>
          <w:rFonts w:hint="eastAsia"/>
          <w:lang w:val="en-US"/>
        </w:rPr>
        <w:t>三、标准指引</w:t>
      </w:r>
    </w:p>
    <w:p w14:paraId="75B7DAD4">
      <w:pPr>
        <w:ind w:firstLine="480"/>
        <w:rPr>
          <w:rFonts w:hint="eastAsia"/>
          <w:lang w:val="en-US"/>
        </w:rPr>
      </w:pPr>
      <w:r>
        <w:rPr>
          <w:rFonts w:hint="eastAsia"/>
          <w:lang w:val="en-US"/>
        </w:rPr>
        <w:t>依据国家、行业及地方相关法规与技术标准，确保各环节设计合规、可控、可落地。在法规依据上，遵循《中华人民共和国森林法》《森林防火条例》《湖南省森林防火若干规定》等法律要求，明确项目建设边界（如不占用永久基本农田、生态保护红线）。在技术标准上，设备选型与参数符合《森林消防专业队伍建设标准》（LY/T5009-2014）、《森林防火工程技术标准》（LY/J127-2012）、《森林火险区综合治理工程项目建设标准》等规范，施工环节遵循《森林资源规划设计调查技术规程》（GB/T26424-2010）、土建工程相关定额标准，确保森林防火物资储备库、消防管网等建设质量达标。同时，信息化系统设计符合《森林防火视频监控图像联网技术规范》，保障市级调度中心与县级平台数据互通、兼容扩展，避免“信息孤岛”。</w:t>
      </w:r>
    </w:p>
    <w:p w14:paraId="75B7DAD5">
      <w:pPr>
        <w:ind w:firstLine="480"/>
        <w:rPr>
          <w:rFonts w:hint="eastAsia"/>
          <w:lang w:val="en-US"/>
        </w:rPr>
      </w:pPr>
      <w:r>
        <w:rPr>
          <w:rFonts w:hint="eastAsia"/>
          <w:lang w:val="en-US"/>
        </w:rPr>
        <w:t>四、安全依靠</w:t>
      </w:r>
    </w:p>
    <w:p w14:paraId="75B7DAD6">
      <w:pPr>
        <w:ind w:firstLine="480"/>
        <w:rPr>
          <w:rFonts w:hint="eastAsia"/>
          <w:lang w:val="en-US"/>
        </w:rPr>
      </w:pPr>
      <w:r>
        <w:rPr>
          <w:rFonts w:hint="eastAsia"/>
          <w:lang w:val="en-US"/>
        </w:rPr>
        <w:t>以“科学选址，安全耐用、系统稳定”为核心，全方位保障项目建设与运行安全。</w:t>
      </w:r>
    </w:p>
    <w:p w14:paraId="75B7DAD7">
      <w:pPr>
        <w:ind w:firstLine="480"/>
        <w:rPr>
          <w:rFonts w:hint="eastAsia"/>
          <w:lang w:val="en-US"/>
        </w:rPr>
      </w:pPr>
      <w:r>
        <w:rPr>
          <w:rFonts w:hint="eastAsia"/>
          <w:lang w:val="en-US"/>
        </w:rPr>
        <w:t>在无人机机场选址方面：需要满足3小时环境备电，确保意外断电情况下供电恢复期间的正常工作要求。优先选择现有信息资源，可减少土方工程，减少建设成本，可降低对无人机机场的维护投入。</w:t>
      </w:r>
    </w:p>
    <w:p w14:paraId="75B7DAD8">
      <w:pPr>
        <w:ind w:firstLine="480"/>
        <w:rPr>
          <w:rFonts w:hint="eastAsia"/>
          <w:lang w:val="en-US"/>
        </w:rPr>
      </w:pPr>
      <w:r>
        <w:rPr>
          <w:rFonts w:hint="eastAsia"/>
          <w:lang w:val="en-US"/>
        </w:rPr>
        <w:t>在设备安全层面，防护等级不低于IP55，适应-25℃~45℃温度范围；电子屏蔽防雷箱防护等级达IP66，具备抗雨、雪、雷电、盐雾能力；消防水泵、发电机等设备需通过耐高低温、抗振动测试，确保在山区复杂地形下稳定运行。</w:t>
      </w:r>
    </w:p>
    <w:p w14:paraId="75B7DAD9">
      <w:pPr>
        <w:ind w:firstLine="480"/>
        <w:rPr>
          <w:rFonts w:hint="eastAsia"/>
          <w:lang w:val="en-US"/>
        </w:rPr>
      </w:pPr>
      <w:r>
        <w:rPr>
          <w:rFonts w:hint="eastAsia"/>
          <w:lang w:val="en-US"/>
        </w:rPr>
        <w:t>在系统安全层面，同时建设通信系统融合数字超短波固定基站、移动基站，避免单一通信链路故障。</w:t>
      </w:r>
    </w:p>
    <w:p w14:paraId="75B7DADA">
      <w:pPr>
        <w:pStyle w:val="4"/>
        <w:rPr>
          <w:rFonts w:hint="eastAsia"/>
          <w:lang w:val="en-US"/>
        </w:rPr>
      </w:pPr>
      <w:bookmarkStart w:id="122" w:name="_Toc12992"/>
      <w:r>
        <w:rPr>
          <w:rFonts w:hint="eastAsia"/>
        </w:rPr>
        <w:t>建设策略</w:t>
      </w:r>
      <w:bookmarkEnd w:id="122"/>
    </w:p>
    <w:p w14:paraId="75B7DADB">
      <w:pPr>
        <w:ind w:firstLine="480"/>
        <w:rPr>
          <w:rFonts w:hint="eastAsia"/>
          <w:lang w:val="en-US"/>
        </w:rPr>
      </w:pPr>
      <w:r>
        <w:rPr>
          <w:rFonts w:hint="eastAsia"/>
          <w:lang w:val="en-US"/>
        </w:rPr>
        <w:t>一、统筹规划，稳步推进</w:t>
      </w:r>
    </w:p>
    <w:p w14:paraId="75B7DADC">
      <w:pPr>
        <w:ind w:firstLine="480"/>
        <w:rPr>
          <w:rFonts w:hint="eastAsia"/>
          <w:lang w:val="en-US"/>
        </w:rPr>
      </w:pPr>
      <w:r>
        <w:rPr>
          <w:rFonts w:hint="eastAsia"/>
          <w:lang w:val="en-US"/>
        </w:rPr>
        <w:t>为了保证平台及其应用系统建设的合理性、先进性及可扩充性，本项目建设必须以需求为导向，统一规划、分步实施。以信息共享、互联互通为重点，做到顶层规划，统一架构，突破部门、行业界限和体制性障碍，整合基础设施、公共信息和终端资源，带动全社会信息资源的整合、深度开发利用，最大程度地发挥信息资源的价值和信息化效益。</w:t>
      </w:r>
    </w:p>
    <w:p w14:paraId="75B7DADD">
      <w:pPr>
        <w:ind w:firstLine="480"/>
        <w:rPr>
          <w:rFonts w:hint="eastAsia"/>
          <w:lang w:val="en-US"/>
        </w:rPr>
      </w:pPr>
      <w:r>
        <w:rPr>
          <w:rFonts w:hint="eastAsia"/>
          <w:lang w:val="en-US"/>
        </w:rPr>
        <w:t>二、创新驱动，突出服务</w:t>
      </w:r>
    </w:p>
    <w:p w14:paraId="75B7DADE">
      <w:pPr>
        <w:ind w:firstLine="480"/>
        <w:rPr>
          <w:rFonts w:hint="eastAsia"/>
          <w:lang w:val="en-US"/>
        </w:rPr>
      </w:pPr>
      <w:r>
        <w:rPr>
          <w:rFonts w:hint="eastAsia"/>
          <w:lang w:val="en-US"/>
        </w:rPr>
        <w:t>综合治理能力提升建设要从岳阳市政务数字化转型的实际需求出发，以应用需求为主导，促进政府职能转变。面向社会，公开政务信息，使社会公众享受到安全周到、方便快捷的服务。实现信息技术在政务系统运行监测、管理与服务的深度渗透与融合，加速推进深化应用，促使政务信息化在加快转变发展方式中发挥更重要的牵引和支撑作用，有效提高政务工作的开展质量和效益。</w:t>
      </w:r>
    </w:p>
    <w:p w14:paraId="75B7DADF">
      <w:pPr>
        <w:ind w:firstLine="480"/>
        <w:rPr>
          <w:rFonts w:hint="eastAsia"/>
          <w:lang w:val="en-US"/>
        </w:rPr>
      </w:pPr>
      <w:r>
        <w:rPr>
          <w:rFonts w:hint="eastAsia"/>
          <w:lang w:val="en-US"/>
        </w:rPr>
        <w:t>三、技术先进，资源共享</w:t>
      </w:r>
    </w:p>
    <w:p w14:paraId="75B7DAE0">
      <w:pPr>
        <w:ind w:firstLine="480"/>
        <w:rPr>
          <w:rFonts w:hint="eastAsia"/>
          <w:lang w:val="en-US"/>
        </w:rPr>
      </w:pPr>
      <w:r>
        <w:rPr>
          <w:rFonts w:hint="eastAsia"/>
          <w:lang w:val="en-US"/>
        </w:rPr>
        <w:t>平台建设必须强调先进性和标准化。在数据库构架、设备选型、网络结构、应用系统开发、安全控制等各个方面要充分体现系统的先进性及标准化。充分利用各部门现有资源，使其发挥更大作用，最大限度地保护投资。坚持集中与分布相结合的布局原则。</w:t>
      </w:r>
    </w:p>
    <w:p w14:paraId="75B7DAE1">
      <w:pPr>
        <w:ind w:firstLine="480"/>
        <w:rPr>
          <w:rFonts w:hint="eastAsia"/>
          <w:lang w:val="en-US"/>
        </w:rPr>
      </w:pPr>
      <w:r>
        <w:rPr>
          <w:rFonts w:hint="eastAsia"/>
          <w:lang w:val="en-US"/>
        </w:rPr>
        <w:t>四、统一标准，保障安全</w:t>
      </w:r>
    </w:p>
    <w:p w14:paraId="75B7DAE2">
      <w:pPr>
        <w:ind w:firstLine="480"/>
        <w:rPr>
          <w:rFonts w:hint="eastAsia"/>
          <w:lang w:val="en-US"/>
        </w:rPr>
      </w:pPr>
      <w:r>
        <w:rPr>
          <w:rFonts w:hint="eastAsia"/>
          <w:lang w:val="en-US"/>
        </w:rPr>
        <w:t>统一安全标准、统一数据标准、统一交换标准，保障系统互通与安全。平台具有信息量大、可靠性要求高等特点，要求系统必须遵循国家标准，具有可共享性、可扩充性、可管理性和较高的安全性。因而要正确处理发展与安全的关系，重视网络与信息安全，逐步形成网络与信息的安全保障体系，综合平衡成本和效益，加快制定并贯彻执行统一的业务及技术标准规范，强化标准在信息化建设中的指引性作用。</w:t>
      </w:r>
    </w:p>
    <w:p w14:paraId="75B7DAE3">
      <w:pPr>
        <w:ind w:firstLine="480"/>
        <w:rPr>
          <w:rFonts w:hint="eastAsia"/>
          <w:lang w:val="en-US"/>
        </w:rPr>
      </w:pPr>
      <w:r>
        <w:rPr>
          <w:rFonts w:hint="eastAsia"/>
          <w:lang w:val="en-US"/>
        </w:rPr>
        <w:t>五、便于扩展，维护简便</w:t>
      </w:r>
    </w:p>
    <w:p w14:paraId="75B7DAE4">
      <w:pPr>
        <w:ind w:firstLine="480"/>
        <w:rPr>
          <w:rFonts w:hint="eastAsia"/>
          <w:lang w:val="en-US"/>
        </w:rPr>
      </w:pPr>
      <w:r>
        <w:rPr>
          <w:rFonts w:hint="eastAsia"/>
          <w:lang w:val="en-US"/>
        </w:rPr>
        <w:t>为了适应日新月异发展的计算机及网络技术和数据的日益增长，软件、硬件及网络设计必须具备易扩充性与易维护性，为今后的扩充与升级留有足够的余地，以最大限度地保护投资。</w:t>
      </w:r>
    </w:p>
    <w:p w14:paraId="75B7DAE5">
      <w:pPr>
        <w:pStyle w:val="3"/>
        <w:rPr>
          <w:lang w:val="en-US"/>
        </w:rPr>
      </w:pPr>
      <w:bookmarkStart w:id="123" w:name="_Toc6441"/>
      <w:r>
        <w:rPr>
          <w:rFonts w:hint="eastAsia"/>
          <w:lang w:val="en-US"/>
        </w:rPr>
        <w:t>总体建设目标</w:t>
      </w:r>
      <w:bookmarkEnd w:id="121"/>
      <w:bookmarkEnd w:id="123"/>
    </w:p>
    <w:p w14:paraId="75B7DAE6">
      <w:pPr>
        <w:ind w:firstLine="480"/>
        <w:rPr>
          <w:rFonts w:hint="eastAsia"/>
          <w:lang w:val="en-US"/>
        </w:rPr>
      </w:pPr>
      <w:bookmarkStart w:id="124" w:name="_Toc15501"/>
      <w:r>
        <w:rPr>
          <w:rFonts w:hint="eastAsia"/>
          <w:lang w:val="en-US"/>
        </w:rPr>
        <w:t>岳阳市森林防火项目初步设计总体目标，围绕“构建‘空天地人’协同防控体系、夯实应急处置能力、提升治理现代化水平”展开，具体实现以下目标：</w:t>
      </w:r>
    </w:p>
    <w:p w14:paraId="75B7DAE7">
      <w:pPr>
        <w:ind w:firstLine="480"/>
        <w:rPr>
          <w:rFonts w:hint="eastAsia"/>
          <w:lang w:val="en-US"/>
        </w:rPr>
      </w:pPr>
      <w:r>
        <w:rPr>
          <w:rFonts w:hint="eastAsia"/>
          <w:lang w:val="en-US"/>
        </w:rPr>
        <w:t>建成森林防火预警监测体系：航空火情监测子系统配置长航时无人机，实现重点林区常态化巡航，火情发现时间较传统人工巡查显著缩短，识别准确率大幅提升；地面火情监测子系统部署双光谱高清监控，覆盖项目区大部分林区，24小时不间断自动探测烟火，确保报警响应高效；同步配套护林员巡护终端，填补林区盲区，形成“空巡+地监+人补”的立体监测网络，保障火情早发现、早报警。</w:t>
      </w:r>
    </w:p>
    <w:p w14:paraId="75B7DAE8">
      <w:pPr>
        <w:ind w:firstLine="480"/>
        <w:rPr>
          <w:rFonts w:hint="eastAsia"/>
          <w:lang w:val="en-US"/>
        </w:rPr>
      </w:pPr>
      <w:r>
        <w:rPr>
          <w:rFonts w:hint="eastAsia"/>
          <w:lang w:val="en-US"/>
        </w:rPr>
        <w:t>打通三级调度联动通道：市级森林防火监测调度中心实现值班室和视频会商中心、县级森林防火监测调度中心联通，可一键调取项目区任意监测点画面、无人机实时回传影像，助力市级指挥层实时掌握火灾现状、动态及发展趋势，生成火情研判报告与处置方案，提升对区县应急处置的辅助决策效率与指令传达时效性。</w:t>
      </w:r>
    </w:p>
    <w:p w14:paraId="75B7DAE9">
      <w:pPr>
        <w:ind w:firstLine="480"/>
        <w:rPr>
          <w:rFonts w:hint="eastAsia"/>
          <w:lang w:val="en-US"/>
        </w:rPr>
      </w:pPr>
      <w:r>
        <w:rPr>
          <w:rFonts w:hint="eastAsia"/>
          <w:lang w:val="en-US"/>
        </w:rPr>
        <w:t>落地天空地综合监管功能：岳阳市天空地综合监测监管系统建成“一屏总览”平台，整合森林防火（火情预警、处置台账）、林地巡护（护林员轨迹、隐患排查）、林地资源保护（权属核查、违规监测）、视频卡口监控（林区入口人流/车流）四大模块，支持数据实时预览、历史回溯与统计分析，实现林区监管“可视化、可追溯、可调度”。</w:t>
      </w:r>
    </w:p>
    <w:p w14:paraId="75B7DAEA">
      <w:pPr>
        <w:ind w:firstLine="480"/>
        <w:rPr>
          <w:rFonts w:hint="eastAsia"/>
          <w:lang w:val="en-US"/>
        </w:rPr>
      </w:pPr>
      <w:r>
        <w:rPr>
          <w:rFonts w:hint="eastAsia"/>
          <w:lang w:val="en-US"/>
        </w:rPr>
        <w:t>构建稳定综合通信网络：森林防火综合通信系统实现项目区大部分林区的应急通信覆盖，含无线窄带通信（支持“三断”场景通话）、4G/5G数据传输（保障监测视频低时延），确保无人机影像、监控画面、护林员上报信息能实时传输至指挥中心，为信息化防控提供无间断通信支撑。</w:t>
      </w:r>
    </w:p>
    <w:p w14:paraId="75B7DAEB">
      <w:pPr>
        <w:ind w:firstLine="480"/>
        <w:rPr>
          <w:rFonts w:hint="eastAsia"/>
          <w:lang w:val="en-US"/>
        </w:rPr>
      </w:pPr>
      <w:r>
        <w:rPr>
          <w:rFonts w:hint="eastAsia"/>
          <w:lang w:val="en-US"/>
        </w:rPr>
        <w:t>提升消防队伍实战能力：重点加强专业森林消防队伍建设，提高专业队伍基础设施和装备建设水平，对应急扑火队伍和现有半专业队配备必要的机具装备，提高队伍快速处置森林火灾能力。</w:t>
      </w:r>
    </w:p>
    <w:p w14:paraId="75B7DAEC">
      <w:pPr>
        <w:pStyle w:val="3"/>
        <w:rPr>
          <w:lang w:val="en-US"/>
        </w:rPr>
      </w:pPr>
      <w:bookmarkStart w:id="125" w:name="_Toc2955"/>
      <w:r>
        <w:rPr>
          <w:rFonts w:hint="eastAsia"/>
          <w:lang w:val="en-US"/>
        </w:rPr>
        <w:t>总体建设任务</w:t>
      </w:r>
      <w:bookmarkEnd w:id="124"/>
      <w:bookmarkEnd w:id="125"/>
    </w:p>
    <w:p w14:paraId="75B7DAED">
      <w:pPr>
        <w:ind w:firstLine="480"/>
        <w:rPr>
          <w:rFonts w:hint="eastAsia"/>
          <w:lang w:val="en-US"/>
        </w:rPr>
      </w:pPr>
      <w:r>
        <w:rPr>
          <w:rFonts w:hint="eastAsia"/>
          <w:lang w:val="en-US"/>
        </w:rPr>
        <w:t>为全面提升湖南省岳阳市森林火灾高风险区的森林防火综合治理水平与应急处置能力，本次项目围绕预警监测系统建设、森林防火通信系统建设、森林消防队伍能力建设三大核心任务，构建覆盖空中、地面、调度全链条，通信畅通、响应高效、防控有力的立体化森林火灾防控体系。在预警监测领域，一方面新建无人机林火巡护和应急处置体系，针对性配置10台无人机I型、37台无人机Ⅱ型、20台载重大型无人机、29台小型无人机及34台自主巡护无人机机场，形成空中常态化巡护与应急快速响应能力；另一方面完善地面火情监测网络，配备17台一体化云台摄像机、9套林火视频监控系统前端、5套林火视频中央控制系统、存量共享高位监控268处、203台北斗手持巡护终端，同时新增1台存储服务器、共计</w:t>
      </w:r>
      <w:r>
        <w:rPr>
          <w:rFonts w:hint="eastAsia"/>
          <w:lang w:val="en-US" w:eastAsia="zh-CN"/>
        </w:rPr>
        <w:t>23.98</w:t>
      </w:r>
      <w:r>
        <w:rPr>
          <w:rFonts w:hint="eastAsia"/>
          <w:lang w:val="en-US"/>
        </w:rPr>
        <w:t>平方米的LED全彩显示屏（含市局二楼10.04平方米、五楼10.04平方米及林科所会议室3.9平方米）、1套森林防火调度中心综合调度系统软件和1台云多点控制单元（MCU），实现火情全方位监测、数据高效存储与调度指令快速下达。在森林防火通信方面，构建融合超短波、短波、卫星等多元通信手段的机动通信系统，集中配齐5台套数字超短波固定基站、数字超短波移动基站、数字超短波背负台、应急通讯箱、车载台、语音网关、手持台，打通火情信息传递“最后一公里”，确保极端环境下通信不中断、指令不延误。在森林消防队伍能力建设方面，批量配备529套森林防火视频监控语音宣传杆，同步强化队伍实战保障与宣传警示能力，通过三大板块的协同建设与软硬件设施的全面升级，系统性破解岳阳市森林火灾高风险区监测预警不及时、通信保障薄弱、防控能力不足等问题，全面筑牢森林生态安全屏障。</w:t>
      </w:r>
    </w:p>
    <w:p w14:paraId="75B7DAEE">
      <w:pPr>
        <w:pStyle w:val="3"/>
        <w:rPr>
          <w:lang w:val="en-US"/>
        </w:rPr>
      </w:pPr>
      <w:bookmarkStart w:id="126" w:name="_Toc2232"/>
      <w:bookmarkStart w:id="127" w:name="_Toc31935"/>
      <w:r>
        <w:rPr>
          <w:rFonts w:hint="eastAsia"/>
          <w:lang w:val="en-US"/>
        </w:rPr>
        <w:t>总体框架设计</w:t>
      </w:r>
      <w:bookmarkEnd w:id="126"/>
      <w:bookmarkEnd w:id="127"/>
    </w:p>
    <w:p w14:paraId="75B7DAEF">
      <w:pPr>
        <w:pStyle w:val="4"/>
        <w:rPr>
          <w:rFonts w:hint="eastAsia"/>
          <w:lang w:val="en-US"/>
        </w:rPr>
      </w:pPr>
      <w:bookmarkStart w:id="128" w:name="_Toc25733"/>
      <w:bookmarkStart w:id="129" w:name="_Toc2707"/>
      <w:r>
        <w:rPr>
          <w:rFonts w:hint="eastAsia"/>
          <w:lang w:val="en-US"/>
        </w:rPr>
        <w:t>系统架构</w:t>
      </w:r>
      <w:bookmarkEnd w:id="128"/>
      <w:bookmarkEnd w:id="129"/>
    </w:p>
    <w:p w14:paraId="75B7DAF0">
      <w:pPr>
        <w:spacing w:line="240" w:lineRule="auto"/>
        <w:ind w:firstLine="0" w:firstLineChars="0"/>
        <w:rPr>
          <w:rFonts w:hint="eastAsia"/>
          <w:position w:val="-106"/>
        </w:rPr>
      </w:pPr>
      <w:r>
        <w:drawing>
          <wp:inline distT="0" distB="0" distL="0" distR="0">
            <wp:extent cx="5507990" cy="3140710"/>
            <wp:effectExtent l="0" t="0" r="3810" b="8890"/>
            <wp:docPr id="53355505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555056" name="图片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5507990" cy="3140710"/>
                    </a:xfrm>
                    <a:prstGeom prst="rect">
                      <a:avLst/>
                    </a:prstGeom>
                    <a:noFill/>
                  </pic:spPr>
                </pic:pic>
              </a:graphicData>
            </a:graphic>
          </wp:inline>
        </w:drawing>
      </w:r>
    </w:p>
    <w:p w14:paraId="75B7DAF1">
      <w:pPr>
        <w:spacing w:line="240" w:lineRule="auto"/>
        <w:ind w:firstLine="0" w:firstLineChars="0"/>
        <w:jc w:val="center"/>
        <w:rPr>
          <w:rFonts w:hint="eastAsia"/>
          <w:position w:val="-106"/>
        </w:rPr>
      </w:pPr>
      <w:r>
        <w:rPr>
          <w:rFonts w:hint="eastAsia" w:ascii="仿宋" w:hAnsi="仿宋" w:eastAsia="仿宋" w:cs="仿宋"/>
          <w:b/>
          <w:bCs/>
          <w:spacing w:val="-4"/>
          <w:szCs w:val="24"/>
          <w:lang w:val="en-US"/>
        </w:rPr>
        <w:t xml:space="preserve">图 </w:t>
      </w:r>
      <w:r>
        <w:rPr>
          <w:rFonts w:ascii="仿宋" w:hAnsi="仿宋" w:eastAsia="仿宋" w:cs="仿宋"/>
          <w:b/>
          <w:bCs/>
          <w:spacing w:val="-4"/>
          <w:szCs w:val="24"/>
        </w:rPr>
        <w:t>森林防灭火工程系统逻辑架构</w:t>
      </w:r>
    </w:p>
    <w:p w14:paraId="75B7DAF2">
      <w:pPr>
        <w:ind w:firstLine="480"/>
        <w:rPr>
          <w:rFonts w:hint="eastAsia"/>
          <w:lang w:val="en-US"/>
        </w:rPr>
      </w:pPr>
    </w:p>
    <w:p w14:paraId="75B7DAF3">
      <w:pPr>
        <w:ind w:firstLine="480"/>
        <w:rPr>
          <w:rFonts w:hint="eastAsia"/>
          <w:lang w:val="en-US"/>
        </w:rPr>
      </w:pPr>
      <w:bookmarkStart w:id="130" w:name="_Toc30941"/>
      <w:r>
        <w:rPr>
          <w:rFonts w:hint="eastAsia"/>
          <w:lang w:val="en-US"/>
        </w:rPr>
        <w:t>森林防火综合系统</w:t>
      </w:r>
      <w:r>
        <w:rPr>
          <w:rFonts w:hint="eastAsia"/>
          <w:lang w:val="en-US" w:eastAsia="zh-CN"/>
        </w:rPr>
        <w:t>基于</w:t>
      </w:r>
      <w:r>
        <w:rPr>
          <w:rFonts w:hint="eastAsia"/>
          <w:lang w:val="en-US"/>
        </w:rPr>
        <w:t>多层级技术</w:t>
      </w:r>
      <w:r>
        <w:rPr>
          <w:rFonts w:hint="eastAsia"/>
          <w:lang w:val="en-US" w:eastAsia="zh-CN"/>
        </w:rPr>
        <w:tab/>
      </w:r>
      <w:r>
        <w:rPr>
          <w:rFonts w:hint="eastAsia"/>
          <w:lang w:val="en-US"/>
        </w:rPr>
        <w:t>架构，</w:t>
      </w:r>
      <w:r>
        <w:rPr>
          <w:rFonts w:hint="eastAsia"/>
          <w:lang w:val="en-US" w:eastAsia="zh-CN"/>
        </w:rPr>
        <w:t>采用微服务部署模式，</w:t>
      </w:r>
      <w:r>
        <w:rPr>
          <w:rFonts w:hint="eastAsia"/>
          <w:lang w:val="en-US"/>
        </w:rPr>
        <w:t>融合了现代云原生技术栈，确保系统的高可用性、可扩展性和可维护性</w:t>
      </w:r>
      <w:r>
        <w:rPr>
          <w:rFonts w:hint="eastAsia"/>
          <w:lang w:val="en-US" w:eastAsia="zh-CN"/>
        </w:rPr>
        <w:t>。</w:t>
      </w:r>
      <w:r>
        <w:rPr>
          <w:rFonts w:hint="eastAsia"/>
          <w:lang w:val="en-US"/>
        </w:rPr>
        <w:t>从下至上涵盖感知层（含高位视频监控、无人机、视频监控语音宣传杆、自然资源及其他外部资源，其中蓝色为本期新建）、网络层（包括电子政务外网、行业专网、4G/5G、互联网、专线）、基础层（计算资源、存储资源、安全资源）、数据层（数据采集、数据治理、数据共享交换）、平台层（森林防火调度中心综合调度平台，细分为预警监测视频管理平台和无人机指挥调度平台，包含全局态势、数据对比、任务下单等功能模块）、应用层（监测预警、森林防火、任务巡查、灾后评估等应用场景），同时右侧配套运维服务体系、信息安全体系、标准规范体系，整体通过多层级协同与资源复用/新建结合，构建全方位森林防火技术支撑体系。</w:t>
      </w:r>
    </w:p>
    <w:p w14:paraId="75B7DAF4">
      <w:pPr>
        <w:pStyle w:val="5"/>
      </w:pPr>
      <w:r>
        <w:t>感知层架构</w:t>
      </w:r>
    </w:p>
    <w:p w14:paraId="75B7DAF5">
      <w:pPr>
        <w:ind w:firstLine="480"/>
        <w:rPr>
          <w:rFonts w:hint="eastAsia"/>
        </w:rPr>
      </w:pPr>
      <w:r>
        <w:t>高位视频监控作为感知层核心节点，部署于岳阳市森林火灾高风险区关键制高点，构建全天候立体监测网络。系统将采用高清红外热成像与可见光双光谱融合技术，实现对林区火点的早期识别与精准定位，确保在复杂气象条件下仍能稳定运行。设备防护等级严格不低于IP66标准，适应-25℃至45℃的极端温度环境，并具备防雷、防盐雾腐蚀能力，保障山区野外长期无故障作业。通过</w:t>
      </w:r>
      <w:r>
        <w:rPr>
          <w:rFonts w:hint="eastAsia"/>
          <w:lang w:val="en-US"/>
        </w:rPr>
        <w:t>后端</w:t>
      </w:r>
      <w:r>
        <w:t>计算节点对视频</w:t>
      </w:r>
      <w:r>
        <w:rPr>
          <w:rFonts w:hint="eastAsia"/>
          <w:lang w:val="en-US"/>
        </w:rPr>
        <w:t>图片</w:t>
      </w:r>
      <w:r>
        <w:t>进行实时分析，自动</w:t>
      </w:r>
      <w:r>
        <w:rPr>
          <w:rFonts w:hint="eastAsia"/>
          <w:lang w:val="en-US"/>
        </w:rPr>
        <w:t>识别烟火告警</w:t>
      </w:r>
      <w:r>
        <w:t>信息，告警数据秒级上传至调度中心。</w:t>
      </w:r>
    </w:p>
    <w:p w14:paraId="75B7DAF6">
      <w:pPr>
        <w:ind w:firstLine="480"/>
        <w:rPr>
          <w:rFonts w:hint="eastAsia"/>
        </w:rPr>
      </w:pPr>
      <w:r>
        <w:t>无人机巡查体系将构建“空天地”一体化巡护网络，重点覆盖岳阳市重点林区及交通不便区域，弥补地面人员巡护盲区。系统将配置自主巡检无人机机场，实现无人机自动起降、自动充电，大幅降低人工干预成本。飞行控制策略将基于</w:t>
      </w:r>
      <w:r>
        <w:rPr>
          <w:rFonts w:hint="eastAsia"/>
          <w:lang w:val="en-US"/>
        </w:rPr>
        <w:t>自动航线规划</w:t>
      </w:r>
      <w:r>
        <w:t>技术，确保无人机在指定空域内安全作业，避免误入禁飞区或干扰航空运输。</w:t>
      </w:r>
    </w:p>
    <w:p w14:paraId="75B7DAF7">
      <w:pPr>
        <w:ind w:firstLine="480"/>
        <w:rPr>
          <w:rFonts w:hint="eastAsia"/>
        </w:rPr>
      </w:pPr>
      <w:r>
        <w:t>视频监控语音宣传杆将布设于林区入口、主要道路及人员活动频繁区域，形成“监控+预警+宣传”三位一体的前端防线。设备集成高清摄像头与大功率定向扬声器，支持远程实时喊话与预设录音播放，可在发现违规用火行为时立即进行语音劝阻。结构设计充分考虑户外恶劣环境。</w:t>
      </w:r>
    </w:p>
    <w:p w14:paraId="75B7DAF8">
      <w:pPr>
        <w:ind w:firstLine="480"/>
        <w:rPr>
          <w:rFonts w:hint="eastAsia"/>
        </w:rPr>
      </w:pPr>
      <w:r>
        <w:rPr>
          <w:rFonts w:hint="eastAsia"/>
          <w:lang w:val="en-US"/>
        </w:rPr>
        <w:t>与其他</w:t>
      </w:r>
      <w:r>
        <w:t>外部资源接入将建立标准化的数据交换接口，无缝对接气象部门、应急管理部门及公安系统的既有信息平台。通过遵循GB/T28181等国家标准协议，实现跨部门视频资源的级联调用与共享，打破信息孤岛壁垒。</w:t>
      </w:r>
    </w:p>
    <w:p w14:paraId="75B7DAF9">
      <w:pPr>
        <w:pStyle w:val="5"/>
      </w:pPr>
      <w:r>
        <w:t>网络层架构</w:t>
      </w:r>
    </w:p>
    <w:p w14:paraId="75B7DAFA">
      <w:pPr>
        <w:ind w:firstLine="480"/>
        <w:rPr>
          <w:rFonts w:hint="eastAsia" w:eastAsia="宋体"/>
        </w:rPr>
      </w:pPr>
      <w:r>
        <w:rPr>
          <w:rFonts w:hint="eastAsia"/>
          <w:lang w:val="en-US"/>
        </w:rPr>
        <w:t>网络层架构以云数据中心为核心枢纽，通过多层级网络链路与功能分区实现全流程数据采集、传输、处理及调度指挥。</w:t>
      </w:r>
    </w:p>
    <w:p w14:paraId="75B7DAFB">
      <w:pPr>
        <w:ind w:firstLine="480"/>
        <w:rPr>
          <w:rFonts w:hint="eastAsia"/>
        </w:rPr>
      </w:pPr>
      <w:r>
        <w:t>行业专网将作为森林防火业务的核心传输通道，独立于互联网运行，确保敏感数据与指挥指令的绝对安全。该网络将覆盖岳阳市各级林业站点及重点林区监测点，构建高速稳定的专用数据回路。网络层将实施严格的访问控制策略，仅允许授权设备与用户接入，杜绝非法终端渗透风险。运维管理将引入自动化监控系统，实时感知链路状态，一旦出现故障可在规定时间内完成定位与修复。</w:t>
      </w:r>
    </w:p>
    <w:p w14:paraId="75B7DAFC">
      <w:pPr>
        <w:ind w:firstLine="480"/>
        <w:rPr>
          <w:rFonts w:hint="eastAsia"/>
        </w:rPr>
      </w:pPr>
      <w:r>
        <w:t>4G/5G网络将作为应急通信与移动作业的补充手段，特别是在主干网络中断或偏远地区作业时发挥关键作用。</w:t>
      </w:r>
    </w:p>
    <w:p w14:paraId="75B7DAFD">
      <w:pPr>
        <w:pStyle w:val="5"/>
      </w:pPr>
      <w:r>
        <w:t>基础层架构</w:t>
      </w:r>
    </w:p>
    <w:p w14:paraId="75B7DAFE">
      <w:pPr>
        <w:ind w:firstLine="480"/>
        <w:rPr>
          <w:rFonts w:hint="eastAsia"/>
        </w:rPr>
      </w:pPr>
      <w:r>
        <w:t>计算资源池将基于</w:t>
      </w:r>
      <w:r>
        <w:rPr>
          <w:rFonts w:hint="eastAsia"/>
          <w:lang w:val="en-US"/>
        </w:rPr>
        <w:t>云</w:t>
      </w:r>
      <w:r>
        <w:t>虚拟化技术构建，提供弹性可扩展的算力支撑，满足大数据分析与人工智能模型训练需求。服务器集群将采用分布式架构，通过负载均衡算法自动分配任务，避免单点过载导致系统瘫痪。资源调度策略将依据业务优先级动态调整，保障防火指挥等关键应用获得充足算力。监控平台将实时采集CPU、内存及磁盘使用率，自动生成扩容建议报告，辅助管理层科学决策。</w:t>
      </w:r>
    </w:p>
    <w:p w14:paraId="5E49A2D3">
      <w:pPr>
        <w:ind w:firstLine="480"/>
      </w:pPr>
      <w:r>
        <w:t>存储资源体系将采用分布式对象存储与高性能块存储相结合的混合架构，分别应对海量视频数据与非结构化文档存储需求。</w:t>
      </w:r>
    </w:p>
    <w:p w14:paraId="75B7DB00">
      <w:pPr>
        <w:ind w:firstLine="480"/>
        <w:rPr>
          <w:rFonts w:hint="eastAsia"/>
        </w:rPr>
      </w:pPr>
      <w:r>
        <w:t>安全资源将构建纵深防御体系，涵盖边界防护、主机安全、应用安全及数据安全等多个层面，全面保障信息系统运行安全。部署下一代防火墙与入侵防御系统，实时拦截恶意攻击与异常流量，阻断外部威胁入侵路径。主机侧将安装轻量级终端安全代理，实现病毒查杀、漏洞修补及非法进程管控。数据库审计系统将对所有SQL操作进行记录与分析，防止数据篡改与泄露。安全运营中心将整合各类日志数据，利用大数据分析技术挖掘潜在风险，实现从被动防御向主动预测转变。</w:t>
      </w:r>
    </w:p>
    <w:p w14:paraId="75B7DB01">
      <w:pPr>
        <w:ind w:firstLine="480"/>
        <w:rPr>
          <w:rFonts w:hint="eastAsia"/>
        </w:rPr>
      </w:pPr>
      <w:r>
        <w:t>资源管理模块将实现对全网计算、存储、网络及安全资源的统一视图展示与精细化管控。权限管理体系将基于角色访问控制模型，确保不同层级用户仅能访问其授权范围内的资源，防止越权操作。</w:t>
      </w:r>
    </w:p>
    <w:p w14:paraId="75B7DB02">
      <w:pPr>
        <w:pStyle w:val="5"/>
      </w:pPr>
      <w:r>
        <w:t>数据层架构</w:t>
      </w:r>
    </w:p>
    <w:p w14:paraId="75B7DB03">
      <w:pPr>
        <w:ind w:firstLine="480"/>
        <w:rPr>
          <w:rFonts w:hint="eastAsia"/>
        </w:rPr>
      </w:pPr>
      <w:r>
        <w:t>数据层作为系统的核心信息枢纽，承担全量森林防火数据的汇聚、治理、共享与服务能力，为上层应用提供可靠的数据支撑。</w:t>
      </w:r>
    </w:p>
    <w:p w14:paraId="0FBA2D3F">
      <w:pPr>
        <w:ind w:firstLine="480"/>
      </w:pPr>
      <w:r>
        <w:t>多源数据采集体系</w:t>
      </w:r>
      <w:r>
        <w:rPr>
          <w:rFonts w:hint="eastAsia"/>
        </w:rPr>
        <w:t>：</w:t>
      </w:r>
      <w:r>
        <w:t>构建标准化数据接入网关</w:t>
      </w:r>
      <w:r>
        <w:rPr>
          <w:rFonts w:hint="eastAsia"/>
          <w:lang w:val="en-US"/>
        </w:rPr>
        <w:t>,</w:t>
      </w:r>
      <w:r>
        <w:t>支持感知层设备（高位视频、无人机、宣传杆）的实时数据推送，以及外部异构系统（气象、应急、公安）的批量数据同步。针对不同数据类型制定专属采集策略：视频流采用RTSP/RTMP协议低时延传输，传感器数据采用MQTT协议轻量化采集，业务数据采用RESTful接口定时同步。</w:t>
      </w:r>
    </w:p>
    <w:p w14:paraId="75B7DB05">
      <w:pPr>
        <w:ind w:firstLine="480"/>
        <w:rPr>
          <w:rFonts w:hint="eastAsia"/>
        </w:rPr>
      </w:pPr>
      <w:r>
        <w:t>全生命周期数据治理</w:t>
      </w:r>
      <w:r>
        <w:rPr>
          <w:rFonts w:hint="eastAsia"/>
        </w:rPr>
        <w:t>：</w:t>
      </w:r>
      <w:r>
        <w:t>建立数据质量管控体系，采用自动清洗+人工审核的双重机制提升数据可信度。构建统一的森林防火数据标准体系，涵盖火点信息、林区资源、巡护记录等核心数据元的定义与编码规范。基于知识图谱技术构建森林防火数据资产目录，实现数据的可视化检索与血缘关系追溯，为数据价值挖掘奠定基础。</w:t>
      </w:r>
    </w:p>
    <w:p w14:paraId="75B7DB06">
      <w:pPr>
        <w:pStyle w:val="5"/>
      </w:pPr>
      <w:r>
        <w:t>平台层架构</w:t>
      </w:r>
    </w:p>
    <w:p w14:paraId="75B7DB07">
      <w:pPr>
        <w:ind w:firstLine="480"/>
        <w:rPr>
          <w:rFonts w:hint="eastAsia"/>
        </w:rPr>
      </w:pPr>
      <w:r>
        <w:t>平台层作为系统的核心能力引擎，</w:t>
      </w:r>
      <w:r>
        <w:rPr>
          <w:rFonts w:hint="eastAsia"/>
          <w:lang w:val="en-US"/>
        </w:rPr>
        <w:t>运用</w:t>
      </w:r>
      <w:r>
        <w:t>人工智能、地理信息、大数据分析等</w:t>
      </w:r>
      <w:r>
        <w:rPr>
          <w:rFonts w:hint="eastAsia"/>
          <w:lang w:val="en-US"/>
        </w:rPr>
        <w:t>先进</w:t>
      </w:r>
      <w:r>
        <w:t>技术</w:t>
      </w:r>
      <w:r>
        <w:rPr>
          <w:rFonts w:hint="eastAsia"/>
        </w:rPr>
        <w:t>，</w:t>
      </w:r>
      <w:r>
        <w:rPr>
          <w:rFonts w:hint="eastAsia"/>
          <w:lang w:val="en-US"/>
        </w:rPr>
        <w:t>通过</w:t>
      </w:r>
      <w:r>
        <w:t>森林防火调度中心综合调度平台</w:t>
      </w:r>
      <w:r>
        <w:rPr>
          <w:rFonts w:hint="eastAsia"/>
        </w:rPr>
        <w:t>、</w:t>
      </w:r>
      <w:r>
        <w:t>预警监测视频管理平台</w:t>
      </w:r>
      <w:r>
        <w:rPr>
          <w:rFonts w:hint="eastAsia"/>
        </w:rPr>
        <w:t>、</w:t>
      </w:r>
      <w:r>
        <w:t>无人机指挥调度平台</w:t>
      </w:r>
      <w:r>
        <w:rPr>
          <w:rFonts w:hint="eastAsia"/>
          <w:lang w:val="en-US"/>
        </w:rPr>
        <w:t>等系统</w:t>
      </w:r>
      <w:r>
        <w:rPr>
          <w:rFonts w:hint="eastAsia"/>
        </w:rPr>
        <w:t>，</w:t>
      </w:r>
      <w:r>
        <w:t>为上层应用场景提供可复用的技术支撑模块。</w:t>
      </w:r>
    </w:p>
    <w:p w14:paraId="75B7DB08">
      <w:pPr>
        <w:ind w:firstLine="480"/>
        <w:rPr>
          <w:rFonts w:hint="eastAsia"/>
        </w:rPr>
      </w:pPr>
      <w:r>
        <w:t>森林防火调度中心综合调度平台</w:t>
      </w:r>
      <w:r>
        <w:rPr>
          <w:rFonts w:hint="eastAsia"/>
        </w:rPr>
        <w:t>：</w:t>
      </w:r>
      <w:r>
        <w:t>构建“一屏统揽、一键调度”的可视化指挥中枢，整合全域感知数据、业务数据与地理信息数据，通过三维仿真地图实现森林防火态势的全景展示。</w:t>
      </w:r>
    </w:p>
    <w:p w14:paraId="75B7DB09">
      <w:pPr>
        <w:ind w:firstLine="480"/>
        <w:rPr>
          <w:rFonts w:hint="eastAsia"/>
        </w:rPr>
      </w:pPr>
      <w:r>
        <w:t>预警监测视频管理平台</w:t>
      </w:r>
      <w:r>
        <w:rPr>
          <w:rFonts w:hint="eastAsia"/>
        </w:rPr>
        <w:t>：</w:t>
      </w:r>
      <w:r>
        <w:t>集成AI视频分析引擎，实现对林区视频的智能监控与火点自动识别。</w:t>
      </w:r>
    </w:p>
    <w:p w14:paraId="75B7DB0A">
      <w:pPr>
        <w:ind w:firstLine="480"/>
        <w:rPr>
          <w:rFonts w:hint="eastAsia"/>
        </w:rPr>
      </w:pPr>
      <w:r>
        <w:t>无人机指挥调度平台</w:t>
      </w:r>
      <w:r>
        <w:rPr>
          <w:rFonts w:hint="eastAsia"/>
        </w:rPr>
        <w:t>：</w:t>
      </w:r>
      <w:r>
        <w:t>构建“机库-无人机-平台”三位一体的智能调度体系，实现无人机巡检任务的全流程自动化管理。</w:t>
      </w:r>
    </w:p>
    <w:p w14:paraId="75B7DB0B">
      <w:pPr>
        <w:pStyle w:val="5"/>
      </w:pPr>
      <w:r>
        <w:t>应用层架构</w:t>
      </w:r>
    </w:p>
    <w:p w14:paraId="75B7DB0C">
      <w:pPr>
        <w:ind w:firstLine="480"/>
        <w:rPr>
          <w:rFonts w:hint="eastAsia"/>
        </w:rPr>
      </w:pPr>
      <w:r>
        <w:t>应用层面向森林防火实际业务场景，构建“监测预警-防控扑救-灾后评估”全流程的业务应用体系，实现技术与业务的深度融合。</w:t>
      </w:r>
    </w:p>
    <w:p w14:paraId="75B7DB0D">
      <w:pPr>
        <w:ind w:firstLine="480"/>
        <w:rPr>
          <w:rFonts w:hint="eastAsia" w:eastAsia="仿宋_GB2312"/>
          <w:lang w:eastAsia="zh-CN"/>
        </w:rPr>
      </w:pPr>
      <w:r>
        <w:rPr>
          <w:rFonts w:hint="eastAsia"/>
          <w:lang w:val="en-US"/>
        </w:rPr>
        <w:t>1.</w:t>
      </w:r>
      <w:r>
        <w:t>智能监测预警应用</w:t>
      </w:r>
      <w:r>
        <w:rPr>
          <w:rFonts w:hint="eastAsia"/>
        </w:rPr>
        <w:t>：</w:t>
      </w:r>
      <w:r>
        <w:t>整合多源数据构建森林防火风险预警模型，实现从单一火点监测到全域风险预判的升级</w:t>
      </w:r>
      <w:r>
        <w:rPr>
          <w:rFonts w:hint="eastAsia"/>
          <w:lang w:val="en-US" w:eastAsia="zh-CN"/>
        </w:rPr>
        <w:t>。</w:t>
      </w:r>
    </w:p>
    <w:p w14:paraId="75B7DB0E">
      <w:pPr>
        <w:ind w:firstLine="480"/>
        <w:rPr>
          <w:rFonts w:hint="eastAsia" w:eastAsia="仿宋_GB2312"/>
          <w:lang w:eastAsia="zh-CN"/>
        </w:rPr>
      </w:pPr>
      <w:r>
        <w:rPr>
          <w:rFonts w:hint="eastAsia"/>
          <w:lang w:val="en-US"/>
        </w:rPr>
        <w:t>2.</w:t>
      </w:r>
      <w:r>
        <w:t>主动森林防火应用</w:t>
      </w:r>
      <w:r>
        <w:rPr>
          <w:rFonts w:hint="eastAsia"/>
        </w:rPr>
        <w:t>：</w:t>
      </w:r>
      <w:r>
        <w:t>构建“人防+技防”相结合的主动防控体系，提升森林防火工作的精细化管理水平</w:t>
      </w:r>
      <w:r>
        <w:rPr>
          <w:rFonts w:hint="eastAsia"/>
          <w:lang w:eastAsia="zh-CN"/>
        </w:rPr>
        <w:t>。</w:t>
      </w:r>
    </w:p>
    <w:p w14:paraId="75B7DB0F">
      <w:pPr>
        <w:ind w:firstLine="480"/>
        <w:rPr>
          <w:rFonts w:hint="eastAsia" w:eastAsia="仿宋_GB2312"/>
          <w:lang w:eastAsia="zh-CN"/>
        </w:rPr>
      </w:pPr>
      <w:r>
        <w:rPr>
          <w:rFonts w:hint="eastAsia"/>
          <w:lang w:val="en-US"/>
        </w:rPr>
        <w:t>3.</w:t>
      </w:r>
      <w:r>
        <w:t>快速任务巡查应用</w:t>
      </w:r>
      <w:r>
        <w:rPr>
          <w:rFonts w:hint="eastAsia"/>
        </w:rPr>
        <w:t>：</w:t>
      </w:r>
      <w:r>
        <w:t>基于无人机与移动终端构建快速巡查体系，提升林区隐患排查与应急响应效率</w:t>
      </w:r>
      <w:r>
        <w:rPr>
          <w:rFonts w:hint="eastAsia"/>
          <w:lang w:eastAsia="zh-CN"/>
        </w:rPr>
        <w:t>。</w:t>
      </w:r>
    </w:p>
    <w:p w14:paraId="75B7DB10">
      <w:pPr>
        <w:ind w:firstLine="480"/>
        <w:rPr>
          <w:rFonts w:hint="eastAsia" w:eastAsia="仿宋_GB2312"/>
          <w:lang w:eastAsia="zh-CN"/>
        </w:rPr>
      </w:pPr>
      <w:r>
        <w:rPr>
          <w:rFonts w:hint="eastAsia"/>
          <w:lang w:val="en-US"/>
        </w:rPr>
        <w:t>4.</w:t>
      </w:r>
      <w:r>
        <w:t>科学灾后评估应用</w:t>
      </w:r>
      <w:r>
        <w:rPr>
          <w:rFonts w:hint="eastAsia"/>
        </w:rPr>
        <w:t>：</w:t>
      </w:r>
      <w:r>
        <w:t>利用大数据与遥感技术实现火灾损失的快速评估与恢复重建的科学规划</w:t>
      </w:r>
      <w:r>
        <w:rPr>
          <w:rFonts w:hint="eastAsia"/>
          <w:lang w:eastAsia="zh-CN"/>
        </w:rPr>
        <w:t>。</w:t>
      </w:r>
    </w:p>
    <w:bookmarkEnd w:id="130"/>
    <w:p w14:paraId="75B7DB11">
      <w:pPr>
        <w:pStyle w:val="4"/>
        <w:rPr>
          <w:rFonts w:hint="eastAsia"/>
          <w:lang w:val="en-US"/>
        </w:rPr>
      </w:pPr>
      <w:bookmarkStart w:id="131" w:name="_Toc32193"/>
      <w:bookmarkStart w:id="132" w:name="_Toc20606"/>
      <w:r>
        <w:rPr>
          <w:rFonts w:hint="eastAsia"/>
          <w:lang w:val="en-US"/>
        </w:rPr>
        <w:t>网络架构</w:t>
      </w:r>
      <w:bookmarkEnd w:id="131"/>
      <w:bookmarkEnd w:id="132"/>
    </w:p>
    <w:p w14:paraId="75B7DB12">
      <w:pPr>
        <w:pStyle w:val="5"/>
      </w:pPr>
      <w:r>
        <w:t>网络架构</w:t>
      </w:r>
      <w:r>
        <w:rPr>
          <w:rFonts w:hint="eastAsia"/>
          <w:lang w:val="en-US"/>
        </w:rPr>
        <w:t>设计</w:t>
      </w:r>
    </w:p>
    <w:p w14:paraId="75B7DB13">
      <w:pPr>
        <w:pStyle w:val="6"/>
        <w:rPr>
          <w:rFonts w:hint="eastAsia"/>
        </w:rPr>
      </w:pPr>
      <w:r>
        <w:t>架构核心枢纽</w:t>
      </w:r>
    </w:p>
    <w:p w14:paraId="75B7DB14">
      <w:pPr>
        <w:ind w:firstLine="480"/>
        <w:rPr>
          <w:rFonts w:hint="eastAsia"/>
        </w:rPr>
      </w:pPr>
      <w:r>
        <w:t>通过集中管理岳阳市森林火灾高风险区综合治理能力提升项目产生的全域感知数据与融合分析数据，实现数据资源的统一调度与高效利用。中心节点不仅支撑预警监测视频管理平台与无人机指挥调度平台的运行，还负责对接气象、应急等外部单位数据，打破信息孤岛，为市级调度中心提供实时、准确、全面的态势感知能力，保障火情处置决策的科学性与时效性。</w:t>
      </w:r>
    </w:p>
    <w:p w14:paraId="75B7DB15">
      <w:pPr>
        <w:ind w:firstLine="480"/>
        <w:rPr>
          <w:rFonts w:hint="eastAsia"/>
        </w:rPr>
      </w:pPr>
      <w:r>
        <w:t>多层级网络架构通过七大功能区域的有机串联，为森林防火综合系统提供全方位的技术支撑。从前端感知层的移动作业设备到后端处理层的业务逻辑服务器，各层级间通过互联网、政务外网及专网实现无缝衔接，经多层次安全设备保障数据安全。该架构有效支撑精准高效的森林防火指挥，确保从火情发现、预警生成、告警接收、分析研判到现场处置、信息反馈的闭环流程顺畅运行。系统具备强大的数据处理能力与实时响应机制，能够适应山区复杂地形下的通信需求，避免因单一链路故障导致的数据中断或指挥失灵，全面提升岳阳市森林火灾高风险区的综合治理能力与应急响应速度。</w:t>
      </w:r>
    </w:p>
    <w:p w14:paraId="75B7DB16">
      <w:pPr>
        <w:ind w:firstLine="480"/>
        <w:rPr>
          <w:rFonts w:hint="eastAsia"/>
        </w:rPr>
      </w:pPr>
      <w:r>
        <w:t>云内部数据中心依托高性能计算资源与存储资源，具备对多源异构数据进行深度治理与智能分析的强大能力。原始监测数据经过标准化清洗后，被转化为可用于决策支持的融合分析数据，包括火情告警、态势分析及模拟推演结果。系统支持海量数据的并发处理与实时查询，确保在突发火情场景下，指挥中心能够快速获取最新态势信息。通过建立数据全生命周期的质量控制机制，保障数据的一致性与准确性，为上层应用提供可靠的数据底座。这种处理能力不仅满足日常监测需求，更能应对极端天气或大规模火情带来的高并发数据冲击，确保系统始终处于稳定运行状态。</w:t>
      </w:r>
    </w:p>
    <w:p w14:paraId="75B7DB17">
      <w:pPr>
        <w:pStyle w:val="6"/>
        <w:rPr>
          <w:rFonts w:hint="eastAsia"/>
        </w:rPr>
      </w:pPr>
      <w:r>
        <w:t>数据流程概述</w:t>
      </w:r>
    </w:p>
    <w:p w14:paraId="75B7DB18">
      <w:pPr>
        <w:ind w:firstLine="480"/>
        <w:rPr>
          <w:rFonts w:hint="eastAsia"/>
        </w:rPr>
      </w:pPr>
      <w:r>
        <w:t>前端数据采集环节覆盖全域感知数据获取，通过高位视频监控、无人机、物联网传感器、</w:t>
      </w:r>
      <w:r>
        <w:rPr>
          <w:highlight w:val="none"/>
        </w:rPr>
        <w:t>卫星遥感</w:t>
      </w:r>
      <w:r>
        <w:t>等多种手段，实现对森林火险因子的全天候监测。数据采集过程强调实时性与完整性，确保火情信息能够在第一时间被系统捕获并上传。对于人工上报数据，通过移动端应用进行结构化录入，自动关联地理位置与时间戳，减少人为误差。这一环节是整个森林防火信息化体系的神经末梢，其数据质量直接决定后续预警分析与指挥决策的准确性。</w:t>
      </w:r>
    </w:p>
    <w:p w14:paraId="75B7DB19">
      <w:pPr>
        <w:ind w:firstLine="480"/>
        <w:rPr>
          <w:rFonts w:hint="eastAsia"/>
        </w:rPr>
      </w:pPr>
      <w:r>
        <w:t>中心调度实现依托森林防火调度中心综合调度平台，通过多层级协同与资源复用构建全方位技术支撑体系。平台细分为预警监测视频管理平台与无人机指挥调度平台，包含全局态势、数据对比、任务下单等功能模块。调度中心基于GIS地图与可视化技术，将资源分布、告警信息、火情态势、人员轨迹等信息集中直观展示，为指挥决策提供上帝视角。整个调度过程实现从接警、研判、派单、处置到反馈的全链条闭环管理，大幅提升火情处置效率与科学性。</w:t>
      </w:r>
    </w:p>
    <w:p w14:paraId="75B7DB1A">
      <w:pPr>
        <w:pStyle w:val="5"/>
        <w:rPr>
          <w:lang w:val="en-US"/>
        </w:rPr>
      </w:pPr>
      <w:r>
        <w:rPr>
          <w:rFonts w:hint="eastAsia"/>
          <w:lang w:val="en-US"/>
        </w:rPr>
        <w:t>网络架构优势</w:t>
      </w:r>
    </w:p>
    <w:p w14:paraId="75B7DB1B">
      <w:pPr>
        <w:pStyle w:val="6"/>
        <w:rPr>
          <w:rFonts w:hint="eastAsia"/>
        </w:rPr>
      </w:pPr>
      <w:r>
        <w:t>数据采集高效</w:t>
      </w:r>
    </w:p>
    <w:p w14:paraId="75B7DB1C">
      <w:pPr>
        <w:ind w:firstLine="480"/>
        <w:rPr>
          <w:rFonts w:hint="eastAsia"/>
        </w:rPr>
      </w:pPr>
      <w:r>
        <w:t>多设备协同采集能力依托空天地一体化监测网络，实现卫星、无人机、视频监控、物联网传感器、人工上报等多种监测手段的无缝接入。各类设备按照统一标准格式采集数据，解决多源异构数据的融合与标准化问题。</w:t>
      </w:r>
    </w:p>
    <w:p w14:paraId="05CE5DC9">
      <w:pPr>
        <w:ind w:firstLine="480"/>
        <w:rPr>
          <w:rFonts w:hint="eastAsia" w:eastAsia="仿宋_GB2312"/>
          <w:lang w:eastAsia="zh-CN"/>
        </w:rPr>
      </w:pPr>
      <w:r>
        <w:t>实时数据上传机制保障前端采集的火情信息能够</w:t>
      </w:r>
      <w:r>
        <w:rPr>
          <w:rFonts w:hint="eastAsia"/>
          <w:lang w:val="en-US"/>
        </w:rPr>
        <w:t>及时</w:t>
      </w:r>
      <w:r>
        <w:t>传输至中心调度平台，确保指挥决策的时效性。系统采用自适应传输策略，根据网络状况动态调整数据包大小与传输频率，在带宽受限条件下优先保障关键告警信息的上传。数据上传过程全程加密，防止中间人攻击与数据篡改</w:t>
      </w:r>
      <w:r>
        <w:rPr>
          <w:rFonts w:hint="eastAsia"/>
          <w:lang w:eastAsia="zh-CN"/>
        </w:rPr>
        <w:t>。</w:t>
      </w:r>
    </w:p>
    <w:p w14:paraId="75B7DB1E">
      <w:pPr>
        <w:ind w:firstLine="480"/>
        <w:rPr>
          <w:rFonts w:hint="eastAsia"/>
        </w:rPr>
      </w:pPr>
      <w:r>
        <w:t>数据准确性保障体系贯穿数据采集、传输、存储、处理、交换、服务、管理与销毁等全生命周期活动。建立数据质量控制机制，对采集数据进行合法性校验、逻辑一致性检查与异常值过滤。引入人工智能算法对火情识别结果进行二次验证，降低误报率与漏报率。通过标准化的数据治理流程，持续提升数据质量，为决策分析提供可靠支撑。</w:t>
      </w:r>
    </w:p>
    <w:p w14:paraId="75B7DB1F">
      <w:pPr>
        <w:ind w:firstLine="480"/>
        <w:rPr>
          <w:rFonts w:hint="eastAsia"/>
        </w:rPr>
      </w:pPr>
      <w:r>
        <w:t>数据多样性体现在多维度、多来源、多格式的监测数据集合中，涵盖视频、图像、文本、坐标、传感器读数等多种形态。系统支持结构化与非结构化数据的统一存储与管理，满足不同业务场景的分析需求。通过数据融合技术，气象数据、地形地貌、植被覆盖、人口分布等多源信息整合，形成综合态势图谱。多样化的数据资源为智能分析、模拟推演等高级应用提供了丰富素材，有助于深入挖掘数据价值，提升森林防火治理的智能化水平。数据多样性也为未来系统扩展预留了充足空间，支持新技术与新应用的快速接入。</w:t>
      </w:r>
    </w:p>
    <w:p w14:paraId="75B7DB20">
      <w:pPr>
        <w:pStyle w:val="6"/>
        <w:rPr>
          <w:rFonts w:hint="eastAsia"/>
        </w:rPr>
      </w:pPr>
      <w:r>
        <w:t>决策支持有力</w:t>
      </w:r>
    </w:p>
    <w:p w14:paraId="75B7DB21">
      <w:pPr>
        <w:ind w:firstLine="480"/>
        <w:rPr>
          <w:rFonts w:hint="eastAsia"/>
        </w:rPr>
      </w:pPr>
      <w:r>
        <w:t>数据综合分析能力依托大数据平台与人工智能算法，对海量森林防火监测数据进行深度挖掘与智能研判。</w:t>
      </w:r>
    </w:p>
    <w:p w14:paraId="75B7DB22">
      <w:pPr>
        <w:ind w:firstLine="480"/>
        <w:rPr>
          <w:rFonts w:hint="eastAsia"/>
        </w:rPr>
      </w:pPr>
      <w:r>
        <w:t>1）整合多源异构数据，构建统一数据模型，实现跨部门、跨层级数据融合分析；</w:t>
      </w:r>
    </w:p>
    <w:p w14:paraId="75B7DB23">
      <w:pPr>
        <w:ind w:firstLine="480"/>
        <w:rPr>
          <w:rFonts w:hint="eastAsia"/>
        </w:rPr>
      </w:pPr>
      <w:r>
        <w:t>2）利用机器学习算法识别火情特征，预测火势蔓延趋势，提升预警准确率；</w:t>
      </w:r>
    </w:p>
    <w:p w14:paraId="75B7DB24">
      <w:pPr>
        <w:ind w:firstLine="480"/>
        <w:rPr>
          <w:rFonts w:hint="eastAsia"/>
        </w:rPr>
      </w:pPr>
      <w:r>
        <w:t>3）基于历史数据分析规律，优化资源配置策略，提高灭火救援效率；</w:t>
      </w:r>
    </w:p>
    <w:p w14:paraId="75B7DB25">
      <w:pPr>
        <w:ind w:firstLine="480"/>
        <w:rPr>
          <w:rFonts w:hint="eastAsia"/>
        </w:rPr>
      </w:pPr>
      <w:r>
        <w:t>4）生成多维态势分析报告，为领导决策提供科学依据，推动森林防火治理现代化。</w:t>
      </w:r>
    </w:p>
    <w:p w14:paraId="75B7DB26">
      <w:pPr>
        <w:ind w:firstLine="480"/>
        <w:rPr>
          <w:rFonts w:hint="eastAsia"/>
        </w:rPr>
      </w:pPr>
      <w:r>
        <w:t>智能决策模型构建于大数据分析基础之上，结合行业实践明确项目整体建设目标与功能要求。</w:t>
      </w:r>
    </w:p>
    <w:p w14:paraId="75B7DB27">
      <w:pPr>
        <w:ind w:firstLine="480"/>
        <w:rPr>
          <w:rFonts w:hint="eastAsia"/>
        </w:rPr>
      </w:pPr>
      <w:r>
        <w:t>实时态势展示通过“一屏总览”平台，集成预警监测、通信调度、资源管理等功能，实现林区监管可视化、可追溯、可调度。基于GIS地图与可视化技术，资源分布、告警信息、火情态势、人员轨迹等信息集中直观展示，为指挥决策提供上帝视角。平台支持多图层叠加显示，用户可根据需要自由切换查看不同维度的数据。实时态势图支持缩放、平移、标注等操作，方便指挥人员深入了解现场细节。实时反映火场变化与救援进展，确保指挥决策的时效性与准确性。</w:t>
      </w:r>
    </w:p>
    <w:p w14:paraId="75B7DB28">
      <w:pPr>
        <w:ind w:firstLine="480"/>
        <w:rPr>
          <w:rFonts w:hint="eastAsia"/>
        </w:rPr>
      </w:pPr>
      <w:r>
        <w:t>决策反馈机制确保指挥指令能够有效传达至执行末端，并及时收集执行情况反馈，形成闭环管理。系统支持指令下发、执行跟踪、结果上报的全流程数字化管理，每步操作均有记录可查。建立双向沟通渠道，一线人员可随时反馈现场情况与困难，指挥中心及时调整策略。通过数据分析与反馈机制，不断优化决策模型与处置流程，提升森林防火治理的整体效能与科学化水平。</w:t>
      </w:r>
    </w:p>
    <w:p w14:paraId="75B7DB29">
      <w:pPr>
        <w:pStyle w:val="4"/>
        <w:rPr>
          <w:rFonts w:hint="eastAsia"/>
          <w:lang w:val="en-US"/>
        </w:rPr>
      </w:pPr>
      <w:bookmarkStart w:id="133" w:name="_Toc30806"/>
      <w:r>
        <w:rPr>
          <w:rFonts w:hint="eastAsia"/>
          <w:lang w:val="en-US"/>
        </w:rPr>
        <w:t>关键技术应用</w:t>
      </w:r>
      <w:bookmarkEnd w:id="133"/>
    </w:p>
    <w:p w14:paraId="75B7DB2A">
      <w:pPr>
        <w:pStyle w:val="5"/>
        <w:rPr>
          <w:lang w:val="en-US"/>
        </w:rPr>
      </w:pPr>
      <w:r>
        <w:rPr>
          <w:rFonts w:hint="eastAsia"/>
          <w:lang w:val="en-US"/>
        </w:rPr>
        <w:t>数据与存储技术</w:t>
      </w:r>
    </w:p>
    <w:p w14:paraId="75B7DB2B">
      <w:pPr>
        <w:pStyle w:val="6"/>
        <w:rPr>
          <w:rFonts w:hint="eastAsia"/>
        </w:rPr>
      </w:pPr>
      <w:r>
        <w:t>数据采集技术</w:t>
      </w:r>
    </w:p>
    <w:p w14:paraId="75B7DB2C">
      <w:pPr>
        <w:ind w:firstLine="480"/>
        <w:rPr>
          <w:rFonts w:hint="eastAsia"/>
        </w:rPr>
      </w:pPr>
      <w:r>
        <w:t>数据采集技术的首要环节在于前端智能监控设备的广泛部署与高效运行。在岳阳市森林火灾高风险区的关键位置，布设具备AI识别能力的高清视频监控终端。这些设备不仅负责实时采集视频图像，还能在本地直接进行火情特征的初步提取与过滤，减轻后端处理压力。通过智能编码技术，系统能够在保证画质的前提下大幅压缩数据体积，适应林区复杂的网络传输条件。采集到的原始数据将实时上传至中心平台，为后续的融合分析、态势研判提供第一手鲜活素材，确保火情发现的及时性与准确性。</w:t>
      </w:r>
    </w:p>
    <w:p w14:paraId="75B7DB2E">
      <w:pPr>
        <w:ind w:firstLine="480"/>
        <w:rPr>
          <w:rFonts w:hint="eastAsia"/>
        </w:rPr>
      </w:pPr>
      <w:r>
        <w:t>利用长航时无人机平台开展空中巡查数据采集工作，弥补地面监控视角的局限性。无人机采集数据具有机动性强、覆盖范围广、隐蔽性好等特点，特别适合在交通不便的深山密林区域开展火情侦察与隐患排查。采集到的影像资料将直接用于火点定位、过火面积估算及灾后评估，提升应急处置的科学化水平。</w:t>
      </w:r>
    </w:p>
    <w:p w14:paraId="75B7DB30">
      <w:pPr>
        <w:pStyle w:val="6"/>
        <w:rPr>
          <w:rFonts w:hint="eastAsia"/>
        </w:rPr>
      </w:pPr>
      <w:r>
        <w:t>数据存储技术</w:t>
      </w:r>
    </w:p>
    <w:p w14:paraId="75B7DB31">
      <w:pPr>
        <w:ind w:firstLine="480"/>
        <w:rPr>
          <w:rFonts w:hint="eastAsia"/>
        </w:rPr>
      </w:pPr>
      <w:r>
        <w:t>面对海量视频录像与监测数据的存储需求，将采用分布式存储架构构建弹性可扩展的数据底座。该系统通过将数据分片存储于多个节点，实现横向扩容能力，轻松应对未来业务增长带来的存储压力。分布式存储具备高可用性与容错能力，即使部分节点发生故障，数据依然可通过冗余副本恢复，确保珍贵防火资料不丢失。系统支持对象存储与块存储混合模式，既能高效管理海量小文件，又能满足大视频流的顺序读写需求，为森林防火信息化建设提供坚实的底层数据支撑。定期对数据进行备份，防止数据丢失。</w:t>
      </w:r>
    </w:p>
    <w:p w14:paraId="75B7DB33">
      <w:pPr>
        <w:ind w:firstLine="480"/>
        <w:rPr>
          <w:rFonts w:hint="eastAsia"/>
        </w:rPr>
      </w:pPr>
      <w:r>
        <w:t>构建基于角色的细粒度数据访问控制体系，严格限定不同用户对数据资源的查看、修改与导出权限。系统根据岗位职责划分数据访问等级，普通巡护员仅能查看辖区内的监测数据，而指挥人员则拥有全局视野与调度权限。所有数据访问行为均记录详细日志，支持事后审计与追溯，杜绝越权操作与数据滥用。通过动态权限分配与强制访问控制策略，确保数据仅在授权范围内使用，保障森林防火信息系统的数据主权与信息安全。</w:t>
      </w:r>
    </w:p>
    <w:p w14:paraId="75B7DB34">
      <w:pPr>
        <w:pStyle w:val="5"/>
        <w:rPr>
          <w:lang w:val="en-US"/>
        </w:rPr>
      </w:pPr>
      <w:r>
        <w:rPr>
          <w:rFonts w:hint="eastAsia"/>
          <w:lang w:val="en-US"/>
        </w:rPr>
        <w:t>业务应用与智能化技术</w:t>
      </w:r>
    </w:p>
    <w:p w14:paraId="75B7DB35">
      <w:pPr>
        <w:pStyle w:val="6"/>
        <w:rPr>
          <w:rFonts w:hint="eastAsia"/>
        </w:rPr>
      </w:pPr>
      <w:r>
        <w:t>应急调度联动技术</w:t>
      </w:r>
    </w:p>
    <w:p w14:paraId="75B7DB36">
      <w:pPr>
        <w:ind w:firstLine="480"/>
        <w:rPr>
          <w:rFonts w:hint="eastAsia"/>
        </w:rPr>
      </w:pPr>
      <w:r>
        <w:t>业务应用与智能化技术的核心在于构建“监测-预警-调度-处置”的全流程闭环管理系统。通过数字化手段打通各环节壁垒，实现火情信息的自动流转与任务的无缝衔接。一旦前端感知设备发现异常，系统即刻触发预警流程，并自动关联最近的应急力量与物资储备，生成最优处置方案。整个过程无需人工层层转达，大幅缩短响应时间。闭环机制确保了每一条报警都能得到及时确认与反馈，每一次处置行动都有据可查，形成完整的业务链条，显著提升森林防火工作的整体效能。</w:t>
      </w:r>
    </w:p>
    <w:p w14:paraId="75B7DB37">
      <w:pPr>
        <w:ind w:firstLine="480"/>
        <w:rPr>
          <w:rFonts w:hint="eastAsia"/>
        </w:rPr>
      </w:pPr>
      <w:r>
        <w:t>闭环系统中，信息自动推送功能扮演着关键纽带角色。当火情监测数据达到预警阈值时，系统将根据预设规则自动向相关责任人推送告警信息。推送内容包含火点位置、火势等级、</w:t>
      </w:r>
      <w:r>
        <w:rPr>
          <w:highlight w:val="none"/>
        </w:rPr>
        <w:t>周边环境等关键要素</w:t>
      </w:r>
      <w:r>
        <w:t>，确保决策者掌握全面信息。系统支持多级推送策略，一般火情通知基层护林员，重大险情则直达市级指挥中心。通过即时通讯接口与短信网关，实现信息秒级触达，消除信息传递滞后，为争取黄金救援时间提供有力保障。</w:t>
      </w:r>
    </w:p>
    <w:p w14:paraId="75B7DB38">
      <w:pPr>
        <w:pStyle w:val="6"/>
        <w:rPr>
          <w:rFonts w:hint="eastAsia"/>
        </w:rPr>
      </w:pPr>
      <w:r>
        <w:t>语音宣传智能播报技术</w:t>
      </w:r>
    </w:p>
    <w:p w14:paraId="75B7DB39">
      <w:pPr>
        <w:ind w:firstLine="480"/>
        <w:rPr>
          <w:rFonts w:hint="eastAsia"/>
        </w:rPr>
      </w:pPr>
      <w:r>
        <w:t>语音宣传智能播报技术将深度融合先进的AI语音合成引擎，实现防火警示信息的自动化、智能化发布。</w:t>
      </w:r>
    </w:p>
    <w:p w14:paraId="75B7DB3A">
      <w:pPr>
        <w:ind w:firstLine="480"/>
        <w:rPr>
          <w:rFonts w:hint="eastAsia"/>
        </w:rPr>
      </w:pPr>
      <w:r>
        <w:t>适应森林防火形势的变化与政策要求的调整，系统将提供便捷的远程内容更新功能。管理人员无需亲临现场，即可通过网络后台对遍布林区的语音宣传杆进行批量内容下发与替换。更新过程支持断点续传与版本管理，确保新内容准确无误地推送到每一个终端设备。这一机制大大降低了运维成本，提高了宣传内容的时效性与针对性，确保群众始终接收到最新的防火知识与法律法规，筑牢群防群治的思想防线。</w:t>
      </w:r>
    </w:p>
    <w:p w14:paraId="75B7DB3B">
      <w:pPr>
        <w:ind w:firstLine="480"/>
        <w:rPr>
          <w:rFonts w:hint="eastAsia"/>
        </w:rPr>
      </w:pPr>
      <w:r>
        <w:t>语音宣传智能播报系统的部署将力求实现全覆盖，确保防火声音传遍林区每一个角落。在进山路口、村庄周边、旅游步道及重点防火区域，合理布局语音宣传杆，形成密集的听觉警示网络。系统通过优化天线增益与功率控制，克服山林地形对声波传播的遮挡与衰减，保证在复杂环境下依然具有清晰的广播效果。广泛的覆盖范围不仅提升了宣传教育的渗透力，更在关键时刻起到震慑作用，有效遏制违规用火行为的发生。</w:t>
      </w:r>
    </w:p>
    <w:p w14:paraId="75B7DB3C">
      <w:pPr>
        <w:pStyle w:val="6"/>
        <w:rPr>
          <w:rFonts w:hint="eastAsia"/>
        </w:rPr>
      </w:pPr>
      <w:r>
        <w:t>AI智能识别技术</w:t>
      </w:r>
    </w:p>
    <w:p w14:paraId="75B7DB3D">
      <w:pPr>
        <w:ind w:firstLine="480"/>
        <w:rPr>
          <w:rFonts w:hint="eastAsia"/>
        </w:rPr>
      </w:pPr>
      <w:r>
        <w:t>利用AI智能识别模块对感知网采集的信息进行分析，生成疑似告警信息。</w:t>
      </w:r>
    </w:p>
    <w:p w14:paraId="75B7DB3E">
      <w:pPr>
        <w:ind w:firstLine="480"/>
        <w:rPr>
          <w:rFonts w:hint="eastAsia"/>
        </w:rPr>
      </w:pPr>
      <w:r>
        <w:t>智能识别生成的初步告警信息并非最终结论，必须经过系统的深度分析研判与人工复核确认环节。系统将对告警点的时空背景、历史数据及环境因素进行综合比对，排除云雾、扬尘、阳光反射等干扰因素造成的误报。对于置信度较高的疑似火情，系统将自动推送至值班人员终端进行二次确认。只有在人工或高级算法确认为真实火情后，才会触发正式的应急响应流程。这一严谨的研判机制有效降低了误报率，避免了应急资源的浪费，确保每一次出动都精准有效。</w:t>
      </w:r>
    </w:p>
    <w:p w14:paraId="75B7DB3F">
      <w:pPr>
        <w:ind w:firstLine="480"/>
        <w:rPr>
          <w:rFonts w:hint="eastAsia"/>
        </w:rPr>
      </w:pPr>
      <w:r>
        <w:t>经确认的真实火情将立即进入告警信息发送流程，通过多渠道、多终端同步推送至相关责任单位与个人。系统支持短信、APP推送、声光报警等多种方式，确保信息在不同网络环境下均能送达。告警内容详细包含火点经纬度、</w:t>
      </w:r>
      <w:r>
        <w:rPr>
          <w:highlight w:val="none"/>
        </w:rPr>
        <w:t>周边道路、水源分布，为一线指挥员提供决策支持。发送过程采用高优先级</w:t>
      </w:r>
      <w:r>
        <w:t>队列处理，确保在火情爆发的黄金时间内，指令能够跨越障碍迅速传达至每一位相关人员，形成上下联动的快速反应机制。</w:t>
      </w:r>
    </w:p>
    <w:p w14:paraId="75B7DB40">
      <w:pPr>
        <w:ind w:firstLine="480"/>
        <w:rPr>
          <w:rFonts w:hint="eastAsia"/>
        </w:rPr>
      </w:pPr>
      <w:r>
        <w:t>持续提升AI智能识别的准确率，系统将建立长效的模型训练与优化机制。通过收集实际运行中的正负样本数据，不断迭代升级识别算法，使其更加适应岳阳市特有的地形地貌与气候特征。针对雾天、夜间、强光等复杂场景，专门开发增强型识别模块，降低漏报与误报概率。</w:t>
      </w:r>
    </w:p>
    <w:p w14:paraId="75B7DB41">
      <w:pPr>
        <w:ind w:firstLine="480"/>
        <w:rPr>
          <w:rFonts w:hint="eastAsia"/>
        </w:rPr>
      </w:pPr>
      <w:r>
        <w:t>构建“多设备协同采集-实时数据上传-数据准确性保障-数据多样性管理”全生命周期数据治理体系，全方位支撑森林防火信息化精准决策：多设备协同采集依托空天地一体化监测网络，实现卫星、无人机、视频监控、人工上报等多手段无缝接入，各类设备按统一标准采集数据，系统可根据火险等级动态调整采集频率与精度，分布式架构避免单点故障，大幅提升监控密度与反应速度；数据准确性保障贯穿全生命周期，建立质量控制机制开展合法性校验、逻辑检查与异常过滤，引入人工智能算法二次验证火情识别结果，定期开展数据质量评估并修正偏差，关键业务数据实行双人复核制度；数据多样性涵盖视频、图像、文本、坐标、传感器读数等多形态数据，系统支持结构化与非结构化数据统一存储，通过数据融合技术整合气象、地形、植被等多源信息形成综合态势图谱，为智能分析预留扩展空间。</w:t>
      </w:r>
    </w:p>
    <w:p w14:paraId="75B7DB42">
      <w:pPr>
        <w:ind w:firstLine="480"/>
        <w:rPr>
          <w:rFonts w:hint="eastAsia"/>
        </w:rPr>
      </w:pPr>
    </w:p>
    <w:p w14:paraId="75B7DB43">
      <w:pPr>
        <w:pStyle w:val="2"/>
        <w:rPr>
          <w:rFonts w:hint="eastAsia"/>
          <w:lang w:val="en-US"/>
        </w:rPr>
      </w:pPr>
      <w:bookmarkStart w:id="134" w:name="_Toc22231"/>
      <w:bookmarkStart w:id="135" w:name="_Toc19948"/>
      <w:r>
        <w:rPr>
          <w:rFonts w:hint="eastAsia"/>
          <w:lang w:val="en-US"/>
        </w:rPr>
        <w:t>项目建设方案</w:t>
      </w:r>
      <w:bookmarkEnd w:id="134"/>
      <w:bookmarkEnd w:id="135"/>
    </w:p>
    <w:p w14:paraId="75B7DB44">
      <w:pPr>
        <w:pStyle w:val="3"/>
        <w:rPr>
          <w:lang w:val="en-US"/>
        </w:rPr>
      </w:pPr>
      <w:bookmarkStart w:id="136" w:name="_Toc29846"/>
      <w:bookmarkStart w:id="137" w:name="_Toc19182"/>
      <w:r>
        <w:rPr>
          <w:rFonts w:hint="eastAsia"/>
          <w:lang w:val="en-US"/>
        </w:rPr>
        <w:t>标准规范建设</w:t>
      </w:r>
      <w:bookmarkEnd w:id="136"/>
      <w:bookmarkEnd w:id="137"/>
      <w:r>
        <w:rPr>
          <w:rFonts w:hint="eastAsia"/>
          <w:lang w:val="en-US"/>
        </w:rPr>
        <w:t xml:space="preserve"> </w:t>
      </w:r>
    </w:p>
    <w:p w14:paraId="75B7DB45">
      <w:pPr>
        <w:pStyle w:val="4"/>
        <w:rPr>
          <w:rFonts w:hint="eastAsia"/>
          <w:lang w:val="en-US"/>
        </w:rPr>
      </w:pPr>
      <w:bookmarkStart w:id="138" w:name="_Toc24684"/>
      <w:bookmarkStart w:id="139" w:name="_Toc25608"/>
      <w:r>
        <w:rPr>
          <w:rFonts w:hint="eastAsia"/>
          <w:lang w:val="en-US"/>
        </w:rPr>
        <w:t>技术标准类</w:t>
      </w:r>
      <w:bookmarkEnd w:id="138"/>
      <w:bookmarkEnd w:id="139"/>
    </w:p>
    <w:p w14:paraId="75B7DB46">
      <w:pPr>
        <w:ind w:firstLine="480"/>
        <w:rPr>
          <w:rFonts w:hint="eastAsia"/>
          <w:lang w:val="en-US"/>
        </w:rPr>
      </w:pPr>
      <w:r>
        <w:rPr>
          <w:rFonts w:hint="eastAsia"/>
          <w:lang w:val="en-US"/>
        </w:rPr>
        <w:t>遵循《森林防火视频监控系统技术规范》《森林消防专业队伍建设标准》，统一视频监控分辨率、火情识别响应时间等技术参数。</w:t>
      </w:r>
    </w:p>
    <w:p w14:paraId="75B7DB47">
      <w:pPr>
        <w:ind w:firstLine="480"/>
        <w:rPr>
          <w:rFonts w:hint="eastAsia"/>
          <w:lang w:val="en-US"/>
        </w:rPr>
      </w:pPr>
      <w:r>
        <w:rPr>
          <w:rFonts w:hint="eastAsia"/>
          <w:lang w:val="en-US"/>
        </w:rPr>
        <w:t>参照《无人机林火监测技术规程》，明确无人机巡护航线规划、续航时间、数据传输格式等要求，确保空中监测标准化。</w:t>
      </w:r>
    </w:p>
    <w:p w14:paraId="75B7DB48">
      <w:pPr>
        <w:ind w:firstLine="480"/>
        <w:rPr>
          <w:rFonts w:hint="eastAsia"/>
          <w:lang w:val="en-US"/>
        </w:rPr>
      </w:pPr>
      <w:r>
        <w:rPr>
          <w:rFonts w:hint="eastAsia"/>
          <w:lang w:val="en-US"/>
        </w:rPr>
        <w:t>依据《通信管道与光（电）缆敷设工程施工及验收规范》，规范森林防火通信网络的布线、设备安装与调试流程。</w:t>
      </w:r>
    </w:p>
    <w:p w14:paraId="75B7DB49">
      <w:pPr>
        <w:ind w:firstLine="480"/>
        <w:rPr>
          <w:rFonts w:hint="eastAsia"/>
          <w:lang w:val="en-US"/>
        </w:rPr>
      </w:pPr>
      <w:r>
        <w:rPr>
          <w:rFonts w:hint="eastAsia"/>
          <w:lang w:val="en-US"/>
        </w:rPr>
        <w:t>执行《数据中心设计规范》，对机房的供电、制冷、防雷等进行标准化设计，保障核心设备稳定运行。</w:t>
      </w:r>
    </w:p>
    <w:p w14:paraId="75B7DB4A">
      <w:pPr>
        <w:pStyle w:val="4"/>
        <w:rPr>
          <w:rFonts w:hint="eastAsia"/>
          <w:lang w:val="en-US"/>
        </w:rPr>
      </w:pPr>
      <w:bookmarkStart w:id="140" w:name="_Toc7760"/>
      <w:r>
        <w:rPr>
          <w:rFonts w:hint="eastAsia"/>
          <w:lang w:val="en-US"/>
        </w:rPr>
        <w:t>数据标准类</w:t>
      </w:r>
      <w:bookmarkEnd w:id="140"/>
    </w:p>
    <w:p w14:paraId="75B7DB4B">
      <w:pPr>
        <w:ind w:firstLine="480"/>
        <w:rPr>
          <w:rFonts w:hint="eastAsia"/>
          <w:lang w:val="en-US"/>
        </w:rPr>
      </w:pPr>
      <w:r>
        <w:rPr>
          <w:rFonts w:hint="eastAsia"/>
          <w:lang w:val="en-US"/>
        </w:rPr>
        <w:t>统一火情数据格式：规范火情位置（经纬度精度）、等级划分、处置进度等核心数据的录入与传输标准，兼容国家森林防火信息系统数据要求。</w:t>
      </w:r>
    </w:p>
    <w:p w14:paraId="75B7DB4C">
      <w:pPr>
        <w:ind w:firstLine="480"/>
        <w:rPr>
          <w:rFonts w:hint="eastAsia"/>
          <w:lang w:val="en-US"/>
        </w:rPr>
      </w:pPr>
      <w:r>
        <w:rPr>
          <w:rFonts w:hint="eastAsia"/>
          <w:lang w:val="en-US"/>
        </w:rPr>
        <w:t>建立资源数据库标准：明确森林资源、消防队伍、物资储备、基础设施等数据的分类编码、更新频率与共享规则，确保数据一致性。</w:t>
      </w:r>
    </w:p>
    <w:p w14:paraId="75B7DB4D">
      <w:pPr>
        <w:ind w:firstLine="480"/>
        <w:rPr>
          <w:rFonts w:hint="eastAsia"/>
          <w:lang w:val="en-US"/>
        </w:rPr>
      </w:pPr>
      <w:r>
        <w:rPr>
          <w:rFonts w:hint="eastAsia"/>
          <w:lang w:val="en-US"/>
        </w:rPr>
        <w:t>制定数据交互标准：采用 XML/JSON 统一数据交换格式，规范与应急、气象等部门的数据接口协议，实现跨系统数据无缝对接。</w:t>
      </w:r>
    </w:p>
    <w:p w14:paraId="75B7DB4E">
      <w:pPr>
        <w:ind w:firstLine="480"/>
        <w:rPr>
          <w:rFonts w:hint="eastAsia"/>
          <w:lang w:val="en-US"/>
        </w:rPr>
      </w:pPr>
      <w:r>
        <w:rPr>
          <w:rFonts w:hint="eastAsia"/>
          <w:lang w:val="en-US"/>
        </w:rPr>
        <w:t>遵循《林业数据安全管理规范》，明确敏感数据（如林场边界、消防部署）的分级分类存储与访问权限标准。</w:t>
      </w:r>
    </w:p>
    <w:p w14:paraId="75B7DB4F">
      <w:pPr>
        <w:pStyle w:val="4"/>
        <w:rPr>
          <w:rFonts w:hint="eastAsia"/>
          <w:lang w:val="en-US"/>
        </w:rPr>
      </w:pPr>
      <w:bookmarkStart w:id="141" w:name="_Toc24137"/>
      <w:bookmarkStart w:id="142" w:name="_Toc31944"/>
      <w:r>
        <w:rPr>
          <w:rFonts w:hint="eastAsia"/>
          <w:lang w:val="en-US"/>
        </w:rPr>
        <w:t>信息安全类</w:t>
      </w:r>
      <w:bookmarkEnd w:id="141"/>
      <w:bookmarkEnd w:id="142"/>
    </w:p>
    <w:p w14:paraId="75B7DB50">
      <w:pPr>
        <w:ind w:firstLine="480"/>
        <w:rPr>
          <w:rFonts w:hint="eastAsia"/>
          <w:lang w:val="en-US"/>
        </w:rPr>
      </w:pPr>
      <w:r>
        <w:rPr>
          <w:rFonts w:hint="eastAsia"/>
          <w:lang w:val="en-US"/>
        </w:rPr>
        <w:t>符合《网络安全等级保护基本要求》（GB/T 22239-2019）三级防护要求，建立网络边界防护、主机安全、数据加密等安全机制。</w:t>
      </w:r>
    </w:p>
    <w:p w14:paraId="75B7DB51">
      <w:pPr>
        <w:ind w:firstLine="480"/>
        <w:rPr>
          <w:rFonts w:hint="eastAsia"/>
          <w:lang w:val="en-US"/>
        </w:rPr>
      </w:pPr>
      <w:r>
        <w:rPr>
          <w:rFonts w:hint="eastAsia"/>
          <w:lang w:val="en-US"/>
        </w:rPr>
        <w:t>制定设备安全标准：明确前端监控设备、无人机、通信基站的防雷、防破坏、防尘防水等级（如监控设备防护等级不低于 IP66）。</w:t>
      </w:r>
    </w:p>
    <w:p w14:paraId="75B7DB52">
      <w:pPr>
        <w:ind w:firstLine="480"/>
        <w:rPr>
          <w:rFonts w:hint="eastAsia"/>
          <w:lang w:val="en-US"/>
        </w:rPr>
      </w:pPr>
      <w:r>
        <w:rPr>
          <w:rFonts w:hint="eastAsia"/>
          <w:lang w:val="en-US"/>
        </w:rPr>
        <w:t>建立安全管理制度：涵盖数据备份与恢复、应急响应、人员操作权限管理等规范，定期开展安全测评与隐患整改。</w:t>
      </w:r>
    </w:p>
    <w:p w14:paraId="75B7DB55">
      <w:pPr>
        <w:ind w:firstLine="480"/>
        <w:rPr>
          <w:rFonts w:hint="eastAsia"/>
          <w:lang w:val="en-US"/>
        </w:rPr>
      </w:pPr>
      <w:r>
        <w:rPr>
          <w:rFonts w:hint="eastAsia"/>
          <w:lang w:val="en-US"/>
        </w:rPr>
        <w:t>遵循《密码应用与安全性评估规范》，对关键业务系统与数据传输采用国家认可的加密算法，保障信息安全合规。</w:t>
      </w:r>
    </w:p>
    <w:p w14:paraId="75B7DB56">
      <w:pPr>
        <w:pStyle w:val="3"/>
        <w:rPr>
          <w:lang w:val="en-US"/>
        </w:rPr>
      </w:pPr>
      <w:bookmarkStart w:id="143" w:name="_Toc993"/>
      <w:r>
        <w:rPr>
          <w:rFonts w:hint="eastAsia"/>
          <w:lang w:val="en-US"/>
        </w:rPr>
        <w:t>应用系统、基础设施及应用支撑建设</w:t>
      </w:r>
      <w:bookmarkEnd w:id="143"/>
    </w:p>
    <w:p w14:paraId="75B7DB57">
      <w:pPr>
        <w:ind w:firstLine="480"/>
        <w:rPr>
          <w:rFonts w:hint="eastAsia"/>
          <w:lang w:val="en-US"/>
        </w:rPr>
      </w:pPr>
      <w:r>
        <w:rPr>
          <w:rFonts w:hint="eastAsia"/>
          <w:lang w:val="en-US"/>
        </w:rPr>
        <w:t>本期方案中关键设备与实战需求一一对应，构建起了“巡、察、联、宣”一体化的立体防控机制。其中，无人机不仅是常规巡检工具，更是结合烟火可见光AI算法的“空中智能哨兵”，负责对人力难以到达的林区进行自动化日常巡护与火情快速侦察；手持巡检装备与对讲机构成了前线单兵数字化“感知神经”，实现火场环境数据实时采集与在复杂地形下的可靠点对点通讯；智能宣传杆则作为固定式“预警前哨”，部署于关键入山口，实现政策法规的日常宣导与紧急情况下的定向声光警报。所有设备通过统一的调度管理平台进行集中调度与数据汇聚，并配套制定了从日常训练、设备维护到应急响应的标准化操作规程，确保每一件装备都能在预警、响应、处置的全流程中发挥最大效能，形成人机协同、空地联动的闭环运行机制。</w:t>
      </w:r>
    </w:p>
    <w:p w14:paraId="75B7DB58">
      <w:pPr>
        <w:pStyle w:val="4"/>
        <w:rPr>
          <w:rFonts w:hint="eastAsia"/>
        </w:rPr>
      </w:pPr>
      <w:bookmarkStart w:id="144" w:name="_Toc26566"/>
      <w:r>
        <w:rPr>
          <w:rFonts w:hint="eastAsia"/>
        </w:rPr>
        <w:t>预警监测系统建设</w:t>
      </w:r>
      <w:bookmarkEnd w:id="144"/>
    </w:p>
    <w:p w14:paraId="75B7DB59">
      <w:pPr>
        <w:pStyle w:val="5"/>
      </w:pPr>
      <w:r>
        <w:rPr>
          <w:rFonts w:hint="eastAsia"/>
        </w:rPr>
        <w:t>航空火情监测子系统</w:t>
      </w:r>
    </w:p>
    <w:p w14:paraId="75B7DB5A">
      <w:pPr>
        <w:pStyle w:val="6"/>
        <w:ind w:firstLine="480"/>
        <w:rPr>
          <w:rFonts w:hint="eastAsia"/>
        </w:rPr>
      </w:pPr>
      <w:r>
        <w:rPr>
          <w:rFonts w:hint="eastAsia"/>
          <w:lang w:val="en-US"/>
        </w:rPr>
        <w:t>概述</w:t>
      </w:r>
    </w:p>
    <w:p w14:paraId="75B7DB5B">
      <w:pPr>
        <w:ind w:left="-2" w:leftChars="-1" w:firstLine="480"/>
        <w:rPr>
          <w:rFonts w:hint="eastAsia"/>
          <w:lang w:val="en-US"/>
        </w:rPr>
      </w:pPr>
      <w:r>
        <w:rPr>
          <w:rFonts w:hint="eastAsia"/>
          <w:lang w:val="en-US"/>
        </w:rPr>
        <w:t>项目拟新建无人机林火巡护和应急处置体系：配置无人机林火巡护和应急处置体系：配置10台无人机I型、37台无人机Ⅱ型、20台载重大型无人机、29台小型无人机、34台自主巡护无人机机场开展火灾巡护与监测工作。I型无人机适合用于大面积森林火灾航空监测，续航时间较长，且可以根据需要更换不同的专业载荷；Ⅱ型无人机适用于小面积森林火灾航空监测，体积较小，容易携带，载重无人机用于调运物资、灭火弹。无人机进行森林火灾航空监测时采集的视频能够实时上传至岳阳市森林防火监测调度管理中心。</w:t>
      </w:r>
    </w:p>
    <w:p w14:paraId="75B7DB5C">
      <w:pPr>
        <w:ind w:left="-2" w:leftChars="-1" w:firstLine="480"/>
        <w:rPr>
          <w:rFonts w:hint="eastAsia"/>
          <w:lang w:val="en-US"/>
        </w:rPr>
      </w:pPr>
      <w:r>
        <w:rPr>
          <w:rFonts w:hint="eastAsia"/>
          <w:lang w:val="en-US"/>
        </w:rPr>
        <w:t>本项目充分利用现有信息基础资源搭建无人机机场系统，综合考量灾情风险等级、保护价值、监测需求，同时要兼顾现有信息资源视频监控盲区，根据重点区域的具体特点和灾情风险等级，明确无人机机场的监测重点。在关键节点部署无人机机场，实现对关键区域的全面、动态监控。项目创新性地融合现有信息资源高位视频监控作为地面固定监测点，以无人机作为空中移动台，构建起一个空地紧密协同、高效联动的监测网络体系。系统具备地空联动、交叉验证警情，同时能昼夜在岗，全天候巡护，在发生灾害事件时，系统能够迅速启动应急响应机制，通过无人机快速定位告警位置，并指导救援力量快速到达现场进行处置，实现了对应急管理的全方位、立体化、智能化监管。</w:t>
      </w:r>
    </w:p>
    <w:p w14:paraId="75B7DB5D">
      <w:pPr>
        <w:pStyle w:val="6"/>
        <w:ind w:firstLine="480"/>
        <w:rPr>
          <w:rFonts w:hint="eastAsia"/>
        </w:rPr>
      </w:pPr>
      <w:r>
        <w:rPr>
          <w:rFonts w:hint="eastAsia"/>
        </w:rPr>
        <w:t>航空火情检测架构图</w:t>
      </w:r>
    </w:p>
    <w:p w14:paraId="75B7DB5E">
      <w:pPr>
        <w:spacing w:line="240" w:lineRule="auto"/>
        <w:ind w:firstLine="0" w:firstLineChars="0"/>
        <w:rPr>
          <w:rFonts w:hint="eastAsia"/>
        </w:rPr>
      </w:pPr>
      <w:r>
        <w:rPr>
          <w:position w:val="-86"/>
        </w:rPr>
        <w:drawing>
          <wp:inline distT="0" distB="0" distL="0" distR="0">
            <wp:extent cx="5274310" cy="2727325"/>
            <wp:effectExtent l="0" t="0" r="8890" b="3175"/>
            <wp:docPr id="2" name="IM 26"/>
            <wp:cNvGraphicFramePr/>
            <a:graphic xmlns:a="http://schemas.openxmlformats.org/drawingml/2006/main">
              <a:graphicData uri="http://schemas.openxmlformats.org/drawingml/2006/picture">
                <pic:pic xmlns:pic="http://schemas.openxmlformats.org/drawingml/2006/picture">
                  <pic:nvPicPr>
                    <pic:cNvPr id="2" name="IM 26"/>
                    <pic:cNvPicPr/>
                  </pic:nvPicPr>
                  <pic:blipFill>
                    <a:blip r:embed="rId26"/>
                    <a:stretch>
                      <a:fillRect/>
                    </a:stretch>
                  </pic:blipFill>
                  <pic:spPr>
                    <a:xfrm>
                      <a:off x="0" y="0"/>
                      <a:ext cx="5274310" cy="2727438"/>
                    </a:xfrm>
                    <a:prstGeom prst="rect">
                      <a:avLst/>
                    </a:prstGeom>
                  </pic:spPr>
                </pic:pic>
              </a:graphicData>
            </a:graphic>
          </wp:inline>
        </w:drawing>
      </w:r>
    </w:p>
    <w:p w14:paraId="75B7DB5F">
      <w:pPr>
        <w:pStyle w:val="6"/>
        <w:ind w:firstLine="480"/>
        <w:rPr>
          <w:rFonts w:hint="eastAsia"/>
        </w:rPr>
      </w:pPr>
      <w:r>
        <w:rPr>
          <w:rFonts w:hint="eastAsia"/>
        </w:rPr>
        <w:t>设计思路</w:t>
      </w:r>
    </w:p>
    <w:p w14:paraId="75B7DB60">
      <w:pPr>
        <w:ind w:left="-2" w:leftChars="-1" w:firstLine="480"/>
        <w:rPr>
          <w:rFonts w:hint="eastAsia"/>
          <w:lang w:val="en-US"/>
        </w:rPr>
      </w:pPr>
      <w:r>
        <w:rPr>
          <w:rFonts w:hint="eastAsia"/>
          <w:lang w:val="en-US"/>
        </w:rPr>
        <w:t>一、地空联动、交叉验证火情</w:t>
      </w:r>
    </w:p>
    <w:p w14:paraId="75B7DB61">
      <w:pPr>
        <w:ind w:left="-2" w:leftChars="-1" w:firstLine="480"/>
        <w:rPr>
          <w:rFonts w:hint="eastAsia"/>
          <w:lang w:val="en-US"/>
        </w:rPr>
      </w:pPr>
      <w:r>
        <w:rPr>
          <w:rFonts w:hint="eastAsia"/>
          <w:lang w:val="en-US"/>
        </w:rPr>
        <w:t>辖区内的林区分布情况复杂，存在分布分散、农林交错等特点。防火重点区域较多，防火任务重，高点监控发现火情后，可利用无人机的空中优势快速抵近事件点进行核查，利用无人机可见光相机功能验证火情情况，热成像功能查看现场温度情况，分析是否存在火点、高温点。</w:t>
      </w:r>
    </w:p>
    <w:p w14:paraId="75B7DB62">
      <w:pPr>
        <w:ind w:left="-2" w:leftChars="-1" w:firstLine="480"/>
        <w:rPr>
          <w:rFonts w:hint="eastAsia"/>
          <w:lang w:val="en-US"/>
        </w:rPr>
      </w:pPr>
      <w:r>
        <w:rPr>
          <w:rFonts w:hint="eastAsia"/>
          <w:lang w:val="en-US"/>
        </w:rPr>
        <w:t>二、昼夜在岗、全天候巡林</w:t>
      </w:r>
    </w:p>
    <w:p w14:paraId="75B7DB63">
      <w:pPr>
        <w:ind w:left="-2" w:leftChars="-1" w:firstLine="480"/>
        <w:rPr>
          <w:rFonts w:hint="eastAsia"/>
          <w:lang w:val="en-US"/>
        </w:rPr>
      </w:pPr>
      <w:r>
        <w:rPr>
          <w:rFonts w:hint="eastAsia"/>
          <w:lang w:val="en-US"/>
        </w:rPr>
        <w:t>森林防火体系的巡林信息化程度无法满足对重点区域进行全天候不间断监测，由于地形原因会存在人员无法到达的区域监盲区通过在林区合适位置建设无人机机场，可对林区重点区域及盲区进行高空监测，做到全天候、早发现、自动报警的无人机自动监测手段。</w:t>
      </w:r>
    </w:p>
    <w:p w14:paraId="75B7DB64">
      <w:pPr>
        <w:ind w:left="-2" w:leftChars="-1" w:firstLine="480"/>
        <w:rPr>
          <w:rFonts w:hint="eastAsia"/>
          <w:lang w:val="en-US"/>
        </w:rPr>
      </w:pPr>
      <w:r>
        <w:rPr>
          <w:rFonts w:hint="eastAsia"/>
          <w:lang w:val="en-US"/>
        </w:rPr>
        <w:t>三、快速响应、及时反馈</w:t>
      </w:r>
    </w:p>
    <w:p w14:paraId="75B7DB65">
      <w:pPr>
        <w:ind w:left="-2" w:leftChars="-1" w:firstLine="480"/>
        <w:rPr>
          <w:rFonts w:hint="eastAsia"/>
          <w:lang w:val="en-US"/>
        </w:rPr>
      </w:pPr>
      <w:r>
        <w:rPr>
          <w:rFonts w:hint="eastAsia"/>
          <w:lang w:val="en-US"/>
        </w:rPr>
        <w:t>无人机拍摄取证与人工智能识别后，存在于林地内的各种违规场景，能够自动形成事件信息同步至系统。监管人员收到提示后，可及时对违规行为进行调查、处理，大幅度提高核查效率。同时，借助平台事件下发功能，能够将林区内识别出的异常事件通报给相对应护林人员或执法人员，通知其配合对林地内存在的违规场景落实整改，便于事件闭环处置流程。</w:t>
      </w:r>
    </w:p>
    <w:p w14:paraId="75B7DB66">
      <w:pPr>
        <w:ind w:left="-2" w:leftChars="-1" w:firstLine="480"/>
        <w:rPr>
          <w:rFonts w:hint="eastAsia"/>
          <w:lang w:val="en-US"/>
        </w:rPr>
      </w:pPr>
      <w:r>
        <w:rPr>
          <w:rFonts w:hint="eastAsia"/>
          <w:lang w:val="en-US"/>
        </w:rPr>
        <w:t>四、火情的全周期参与</w:t>
      </w:r>
    </w:p>
    <w:p w14:paraId="75B7DB67">
      <w:pPr>
        <w:ind w:left="-2" w:leftChars="-1" w:firstLine="480"/>
        <w:rPr>
          <w:rFonts w:hint="eastAsia"/>
          <w:lang w:val="en-US"/>
        </w:rPr>
      </w:pPr>
      <w:r>
        <w:rPr>
          <w:rFonts w:hint="eastAsia"/>
          <w:lang w:val="en-US"/>
        </w:rPr>
        <w:t>通过事先梳理防火护林站信息、防火护林员信息、防火专用车辆信息、防火物资储备库信息、防火水源信息、防火护林应急调度指挥预案等数据，提前录入平台，并通过无人机实时收集视频信息，做到火点附近人员、物资、水源等信息及时掌握，实时掌握区域情况，协助决策指挥。</w:t>
      </w:r>
    </w:p>
    <w:p w14:paraId="75B7DB68">
      <w:pPr>
        <w:pStyle w:val="6"/>
        <w:ind w:firstLine="480"/>
        <w:rPr>
          <w:rFonts w:hint="eastAsia"/>
        </w:rPr>
      </w:pPr>
      <w:r>
        <w:rPr>
          <w:rFonts w:hint="eastAsia"/>
        </w:rPr>
        <w:t>无人机Ⅰ型</w:t>
      </w:r>
    </w:p>
    <w:p w14:paraId="75B7DB69">
      <w:pPr>
        <w:spacing w:line="240" w:lineRule="auto"/>
        <w:ind w:firstLine="0" w:firstLineChars="0"/>
        <w:jc w:val="center"/>
        <w:rPr>
          <w:rFonts w:hint="eastAsia"/>
        </w:rPr>
      </w:pPr>
      <w:r>
        <w:drawing>
          <wp:inline distT="0" distB="0" distL="0" distR="0">
            <wp:extent cx="4142105" cy="2468245"/>
            <wp:effectExtent l="0" t="0" r="10795" b="8255"/>
            <wp:docPr id="16386465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646541" name="图片 1"/>
                    <pic:cNvPicPr>
                      <a:picLocks noChangeAspect="1"/>
                    </pic:cNvPicPr>
                  </pic:nvPicPr>
                  <pic:blipFill>
                    <a:blip r:embed="rId27"/>
                    <a:stretch>
                      <a:fillRect/>
                    </a:stretch>
                  </pic:blipFill>
                  <pic:spPr>
                    <a:xfrm>
                      <a:off x="0" y="0"/>
                      <a:ext cx="4155006" cy="2475595"/>
                    </a:xfrm>
                    <a:prstGeom prst="rect">
                      <a:avLst/>
                    </a:prstGeom>
                  </pic:spPr>
                </pic:pic>
              </a:graphicData>
            </a:graphic>
          </wp:inline>
        </w:drawing>
      </w:r>
    </w:p>
    <w:p w14:paraId="75B7DB6A">
      <w:pPr>
        <w:ind w:firstLine="480"/>
        <w:rPr>
          <w:rFonts w:hint="eastAsia"/>
        </w:rPr>
      </w:pPr>
      <w:r>
        <w:rPr>
          <w:rFonts w:hint="eastAsia"/>
        </w:rPr>
        <w:t>林火监测领域的专业级行业无人机，具有超强负载能力、超长续航与全天候环境适应性，成为大范围林区防火巡查、火情应急处置的核心装备。机身支持最大6公斤载重与最多7个负载同时挂载，可灵活搭配三光云台（可见光、红外热成像、激光测距）、L2激光雷达等专业模块，既能穿透烟雾精准定位火源、捕捉火势蔓延轨迹，也能通过高精度三维建模绘制火线分布图，为指挥决策提供数据支撑。</w:t>
      </w:r>
    </w:p>
    <w:p w14:paraId="75B7DB6B">
      <w:pPr>
        <w:pStyle w:val="6"/>
        <w:ind w:firstLine="480"/>
        <w:rPr>
          <w:rFonts w:hint="eastAsia"/>
        </w:rPr>
      </w:pPr>
      <w:r>
        <w:rPr>
          <w:rFonts w:hint="eastAsia"/>
        </w:rPr>
        <w:t>无人机Ⅱ型</w:t>
      </w:r>
    </w:p>
    <w:p w14:paraId="75B7DB6C">
      <w:pPr>
        <w:spacing w:line="240" w:lineRule="auto"/>
        <w:ind w:firstLine="0" w:firstLineChars="0"/>
        <w:jc w:val="center"/>
        <w:rPr>
          <w:rFonts w:hint="eastAsia"/>
        </w:rPr>
      </w:pPr>
      <w:r>
        <w:drawing>
          <wp:inline distT="0" distB="0" distL="0" distR="0">
            <wp:extent cx="4121150" cy="2327910"/>
            <wp:effectExtent l="0" t="0" r="6350" b="8890"/>
            <wp:docPr id="181957488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574889" name="图片 1"/>
                    <pic:cNvPicPr>
                      <a:picLocks noChangeAspect="1"/>
                    </pic:cNvPicPr>
                  </pic:nvPicPr>
                  <pic:blipFill>
                    <a:blip r:embed="rId28"/>
                    <a:stretch>
                      <a:fillRect/>
                    </a:stretch>
                  </pic:blipFill>
                  <pic:spPr>
                    <a:xfrm>
                      <a:off x="0" y="0"/>
                      <a:ext cx="4127084" cy="2331552"/>
                    </a:xfrm>
                    <a:prstGeom prst="rect">
                      <a:avLst/>
                    </a:prstGeom>
                  </pic:spPr>
                </pic:pic>
              </a:graphicData>
            </a:graphic>
          </wp:inline>
        </w:drawing>
      </w:r>
    </w:p>
    <w:p w14:paraId="75B7DB6D">
      <w:pPr>
        <w:ind w:firstLine="480"/>
        <w:rPr>
          <w:rFonts w:hint="eastAsia"/>
        </w:rPr>
      </w:pPr>
      <w:r>
        <w:rPr>
          <w:rFonts w:hint="eastAsia"/>
        </w:rPr>
        <w:t>林火监测领域的专业级行业无人机，具有强力的环境适应性与精准的感知成像能力。机身搭载4800万像素可见光三摄系统与高性能热成像相机，热成像超分模式下分辨率可达1280×1024，配合精准测温功能，能穿透烟雾快速定位温度异常点，清晰捕捉火点位置、火势范围及蔓延轨迹。1800米激光测距模块可精准测算火点距离，4800万像素长焦相机支持远距离细节观测，无需抵近即可掌握火情核心信息。</w:t>
      </w:r>
    </w:p>
    <w:p w14:paraId="75B7DB6E">
      <w:pPr>
        <w:pStyle w:val="6"/>
        <w:ind w:firstLine="480"/>
        <w:rPr>
          <w:rFonts w:hint="eastAsia"/>
        </w:rPr>
      </w:pPr>
      <w:r>
        <w:rPr>
          <w:rFonts w:hint="eastAsia"/>
        </w:rPr>
        <w:t>载重大型无人机</w:t>
      </w:r>
    </w:p>
    <w:p w14:paraId="75B7DB6F">
      <w:pPr>
        <w:spacing w:line="240" w:lineRule="auto"/>
        <w:ind w:firstLine="0" w:firstLineChars="0"/>
        <w:jc w:val="center"/>
        <w:rPr>
          <w:rFonts w:hint="eastAsia"/>
        </w:rPr>
      </w:pPr>
      <w:r>
        <w:drawing>
          <wp:inline distT="0" distB="0" distL="0" distR="0">
            <wp:extent cx="3927475" cy="3061970"/>
            <wp:effectExtent l="0" t="0" r="9525" b="11430"/>
            <wp:docPr id="103778858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788587" name="图片 1"/>
                    <pic:cNvPicPr>
                      <a:picLocks noChangeAspect="1"/>
                    </pic:cNvPicPr>
                  </pic:nvPicPr>
                  <pic:blipFill>
                    <a:blip r:embed="rId29"/>
                    <a:stretch>
                      <a:fillRect/>
                    </a:stretch>
                  </pic:blipFill>
                  <pic:spPr>
                    <a:xfrm>
                      <a:off x="0" y="0"/>
                      <a:ext cx="3927475" cy="3061970"/>
                    </a:xfrm>
                    <a:prstGeom prst="rect">
                      <a:avLst/>
                    </a:prstGeom>
                  </pic:spPr>
                </pic:pic>
              </a:graphicData>
            </a:graphic>
          </wp:inline>
        </w:drawing>
      </w:r>
    </w:p>
    <w:p w14:paraId="75B7DB70">
      <w:pPr>
        <w:ind w:firstLine="480"/>
        <w:rPr>
          <w:rFonts w:hint="eastAsia"/>
        </w:rPr>
      </w:pPr>
      <w:r>
        <w:rPr>
          <w:rFonts w:hint="eastAsia"/>
        </w:rPr>
        <w:t>载重大型无人机是林火监测与应急处置的“空中重器”，具有超强载重、全天候环境适应性与智能安全系统，完美适配林区火情巡查、应急物资投送等核心需求，成为“天空地”一体化防火体系的关键装备。套装含无人机机身、行业遥控器、双电版空吊系统、高容量智能电池及快充设备，支持灵活搭配热成像相机、激光测距模块等第三方负载，实现“侦察－投送－处置”全流程作业。</w:t>
      </w:r>
    </w:p>
    <w:p w14:paraId="75B7DB71">
      <w:pPr>
        <w:pStyle w:val="6"/>
        <w:ind w:firstLine="480"/>
        <w:rPr>
          <w:rFonts w:hint="eastAsia"/>
        </w:rPr>
      </w:pPr>
      <w:r>
        <w:rPr>
          <w:rFonts w:hint="eastAsia"/>
        </w:rPr>
        <w:t>小型无人机</w:t>
      </w:r>
    </w:p>
    <w:p w14:paraId="75B7DB72">
      <w:pPr>
        <w:spacing w:line="240" w:lineRule="auto"/>
        <w:ind w:firstLine="0" w:firstLineChars="0"/>
        <w:jc w:val="center"/>
        <w:rPr>
          <w:rFonts w:hint="eastAsia"/>
        </w:rPr>
      </w:pPr>
      <w:r>
        <w:drawing>
          <wp:inline distT="0" distB="0" distL="0" distR="0">
            <wp:extent cx="3788410" cy="2114550"/>
            <wp:effectExtent l="0" t="0" r="8890" b="6350"/>
            <wp:docPr id="9505244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524421" name="图片 1"/>
                    <pic:cNvPicPr>
                      <a:picLocks noChangeAspect="1"/>
                    </pic:cNvPicPr>
                  </pic:nvPicPr>
                  <pic:blipFill>
                    <a:blip r:embed="rId30"/>
                    <a:stretch>
                      <a:fillRect/>
                    </a:stretch>
                  </pic:blipFill>
                  <pic:spPr>
                    <a:xfrm>
                      <a:off x="0" y="0"/>
                      <a:ext cx="3793620" cy="2117370"/>
                    </a:xfrm>
                    <a:prstGeom prst="rect">
                      <a:avLst/>
                    </a:prstGeom>
                  </pic:spPr>
                </pic:pic>
              </a:graphicData>
            </a:graphic>
          </wp:inline>
        </w:drawing>
      </w:r>
    </w:p>
    <w:p w14:paraId="75B7DB73">
      <w:pPr>
        <w:ind w:firstLine="480"/>
        <w:rPr>
          <w:rFonts w:hint="eastAsia"/>
        </w:rPr>
      </w:pPr>
      <w:r>
        <w:rPr>
          <w:rFonts w:hint="eastAsia"/>
        </w:rPr>
        <w:t>小型无人机含机身、三块智能飞行电池、充电管家、备用螺旋桨及专用背包等全套配件，搭配带屏遥控器。核心搭载1英寸5000万像素主摄与4800万像素中长焦双摄，支持4K/60fps视频录制与14档动态范围，可清晰捕捉火点细节与火势蔓延轨迹，搭配红外热成像配件，更能穿透烟雾精准定位火源。依托20公里稳定图传与4G增强图传模块，在复杂林区环境下也能实时回传画面，45分钟超长续航可覆盖每日30平方公里巡护范围，轻松抵达坡度超60°的陡峭山区、密林等人工巡查盲区。全向主动避障与新一代智能返航技术保障飞行安全，配合套装丰富配件实现高频次、无死角巡护，助力构建“人防+技防”立体化防火体系，大幅提升火情发现与处置效率。</w:t>
      </w:r>
    </w:p>
    <w:p w14:paraId="75B7DB74">
      <w:pPr>
        <w:pStyle w:val="6"/>
        <w:ind w:firstLine="480"/>
        <w:rPr>
          <w:rFonts w:hint="eastAsia"/>
        </w:rPr>
      </w:pPr>
      <w:r>
        <w:rPr>
          <w:rFonts w:hint="eastAsia"/>
        </w:rPr>
        <w:t>自主巡护无人机机场</w:t>
      </w:r>
    </w:p>
    <w:p w14:paraId="75B7DB75">
      <w:pPr>
        <w:ind w:firstLine="480"/>
        <w:rPr>
          <w:rFonts w:hint="eastAsia"/>
        </w:rPr>
      </w:pPr>
      <w:r>
        <w:rPr>
          <w:rFonts w:hint="eastAsia"/>
        </w:rPr>
        <w:t>无人机机场为无人机提供起降和存储场所，负责完整的无人机操作维护，包括无人机正位机构、升降机构、智能充电模块等，实现起飞平台的自动升降、无人机对中归位、无人机系统断电、无人机快速充电，此外，配备差分基站、一体化环境传感器等，辅助无人机进行无人化安全作业和管理。停机舱与指挥中心之间采用专用网络通信，实现对停机舱和无人机的远程控制。</w:t>
      </w:r>
    </w:p>
    <w:p w14:paraId="75B7DB76">
      <w:pPr>
        <w:spacing w:line="240" w:lineRule="auto"/>
        <w:ind w:firstLine="0" w:firstLineChars="0"/>
        <w:jc w:val="center"/>
        <w:rPr>
          <w:rFonts w:hint="eastAsia"/>
        </w:rPr>
      </w:pPr>
      <w:r>
        <w:rPr>
          <w:rFonts w:hint="eastAsia" w:ascii="方正仿宋_GB2312" w:hAnsi="方正仿宋_GB2312" w:eastAsia="方正仿宋_GB2312" w:cs="方正仿宋_GB2312"/>
          <w:sz w:val="28"/>
          <w:szCs w:val="28"/>
        </w:rPr>
        <w:drawing>
          <wp:inline distT="0" distB="0" distL="0" distR="0">
            <wp:extent cx="2293620" cy="1798320"/>
            <wp:effectExtent l="0" t="0" r="0" b="0"/>
            <wp:docPr id="259847804" name="图片 3"/>
            <wp:cNvGraphicFramePr/>
            <a:graphic xmlns:a="http://schemas.openxmlformats.org/drawingml/2006/main">
              <a:graphicData uri="http://schemas.openxmlformats.org/drawingml/2006/picture">
                <pic:pic xmlns:pic="http://schemas.openxmlformats.org/drawingml/2006/picture">
                  <pic:nvPicPr>
                    <pic:cNvPr id="259847804" name="图片 3"/>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2293620" cy="1798320"/>
                    </a:xfrm>
                    <a:prstGeom prst="rect">
                      <a:avLst/>
                    </a:prstGeom>
                    <a:noFill/>
                    <a:ln>
                      <a:noFill/>
                    </a:ln>
                  </pic:spPr>
                </pic:pic>
              </a:graphicData>
            </a:graphic>
          </wp:inline>
        </w:drawing>
      </w:r>
    </w:p>
    <w:p w14:paraId="75B7DB77">
      <w:pPr>
        <w:pStyle w:val="6"/>
        <w:ind w:firstLine="480"/>
        <w:rPr>
          <w:rFonts w:hint="eastAsia"/>
          <w:lang w:val="en-US"/>
        </w:rPr>
      </w:pPr>
      <w:r>
        <w:rPr>
          <w:rFonts w:hint="eastAsia"/>
          <w:lang w:val="en-US"/>
        </w:rPr>
        <w:t>无人机使用规范机制</w:t>
      </w:r>
    </w:p>
    <w:p w14:paraId="75B7DB78">
      <w:pPr>
        <w:ind w:firstLine="480"/>
        <w:rPr>
          <w:rFonts w:hint="eastAsia"/>
        </w:rPr>
      </w:pPr>
      <w:r>
        <w:rPr>
          <w:rFonts w:hint="eastAsia"/>
          <w:lang w:val="en-US"/>
        </w:rPr>
        <w:t>1.</w:t>
      </w:r>
      <w:r>
        <w:rPr>
          <w:rFonts w:hint="eastAsia"/>
        </w:rPr>
        <w:t>分级调度与空域管理</w:t>
      </w:r>
    </w:p>
    <w:p w14:paraId="75B7DB79">
      <w:pPr>
        <w:ind w:firstLine="480"/>
        <w:rPr>
          <w:rFonts w:hint="eastAsia"/>
        </w:rPr>
      </w:pPr>
      <w:r>
        <w:rPr>
          <w:rFonts w:hint="eastAsia"/>
        </w:rPr>
        <w:t>三级响应流程：</w:t>
      </w:r>
    </w:p>
    <w:p w14:paraId="75B7DB7A">
      <w:pPr>
        <w:ind w:firstLine="480"/>
        <w:rPr>
          <w:rFonts w:hint="eastAsia"/>
        </w:rPr>
      </w:pPr>
      <w:r>
        <w:rPr>
          <w:rFonts w:hint="eastAsia"/>
        </w:rPr>
        <w:t>日常巡护：无人机I型/Ⅱ型按预设航线</w:t>
      </w:r>
      <w:r>
        <w:rPr>
          <w:rFonts w:hint="eastAsia"/>
          <w:lang w:val="en-US"/>
        </w:rPr>
        <w:t xml:space="preserve"> 如</w:t>
      </w:r>
      <w:r>
        <w:rPr>
          <w:rFonts w:hint="eastAsia"/>
        </w:rPr>
        <w:t>每日9:00、15:00自动起飞，数据实时上传至市级调度中心；</w:t>
      </w:r>
    </w:p>
    <w:p w14:paraId="75B7DB7B">
      <w:pPr>
        <w:ind w:firstLine="480"/>
        <w:rPr>
          <w:rFonts w:hint="eastAsia"/>
        </w:rPr>
      </w:pPr>
      <w:r>
        <w:rPr>
          <w:rFonts w:hint="eastAsia"/>
        </w:rPr>
        <w:t>火情响应：接警后，载重大型无人机10分钟内从最近</w:t>
      </w:r>
      <w:r>
        <w:rPr>
          <w:rFonts w:hint="eastAsia"/>
          <w:lang w:val="en-US"/>
        </w:rPr>
        <w:t>点</w:t>
      </w:r>
      <w:r>
        <w:rPr>
          <w:rFonts w:hint="eastAsia"/>
        </w:rPr>
        <w:t>升空，小型无人机由地面巡护员手动操控抵近侦察；</w:t>
      </w:r>
    </w:p>
    <w:p w14:paraId="75B7DB7C">
      <w:pPr>
        <w:ind w:firstLine="480"/>
        <w:rPr>
          <w:rFonts w:hint="eastAsia"/>
        </w:rPr>
      </w:pPr>
      <w:r>
        <w:rPr>
          <w:rFonts w:hint="eastAsia"/>
        </w:rPr>
        <w:t>空域申请：通过“低空空域管理平台”提前报备飞行计划，紧急火情启用“即报即飞”绿色通道。</w:t>
      </w:r>
    </w:p>
    <w:p w14:paraId="75B7DB83">
      <w:pPr>
        <w:ind w:firstLine="480"/>
        <w:rPr>
          <w:rFonts w:hint="eastAsia"/>
        </w:rPr>
      </w:pPr>
      <w:r>
        <w:rPr>
          <w:rFonts w:hint="eastAsia"/>
        </w:rPr>
        <w:t>数据安全与共享机制</w:t>
      </w:r>
    </w:p>
    <w:p w14:paraId="75B7DB84">
      <w:pPr>
        <w:ind w:firstLine="480"/>
        <w:rPr>
          <w:rFonts w:hint="eastAsia"/>
        </w:rPr>
      </w:pPr>
      <w:r>
        <w:rPr>
          <w:rFonts w:hint="eastAsia"/>
        </w:rPr>
        <w:t>数据加密：无人机采集的视频/图像通过加密VPN传输，存储服务器启用AES-256加密，访问需“双人双锁”授权（指挥中心主任+安全管理员）。</w:t>
      </w:r>
    </w:p>
    <w:p w14:paraId="75B7DB85">
      <w:pPr>
        <w:ind w:firstLine="480"/>
        <w:rPr>
          <w:rFonts w:hint="eastAsia"/>
        </w:rPr>
      </w:pPr>
      <w:r>
        <w:rPr>
          <w:rFonts w:hint="eastAsia"/>
        </w:rPr>
        <w:t>跨部门共享：与应急管理、气象部门共享火点数据，每日9:00推送《无人机火情监测日报》，包含火点位置、蔓延趋势预测等关键信息。</w:t>
      </w:r>
    </w:p>
    <w:p w14:paraId="75B7DB86">
      <w:pPr>
        <w:ind w:firstLine="480"/>
        <w:rPr>
          <w:rFonts w:hint="eastAsia"/>
        </w:rPr>
      </w:pPr>
      <w:r>
        <w:rPr>
          <w:rFonts w:hint="eastAsia"/>
        </w:rPr>
        <w:t>应急演练与考核</w:t>
      </w:r>
    </w:p>
    <w:p w14:paraId="75B7DB87">
      <w:pPr>
        <w:ind w:firstLine="480"/>
        <w:rPr>
          <w:rFonts w:hint="eastAsia"/>
        </w:rPr>
      </w:pPr>
      <w:r>
        <w:rPr>
          <w:rFonts w:hint="eastAsia"/>
        </w:rPr>
        <w:t>每月演练：模拟“通信中断+设备故障”场景，测试人工接管无人机操作的响应速度（目标：3分钟内切换至手动模式）。</w:t>
      </w:r>
    </w:p>
    <w:p w14:paraId="75B7DB88">
      <w:pPr>
        <w:ind w:firstLine="480"/>
        <w:rPr>
          <w:rFonts w:hint="eastAsia"/>
        </w:rPr>
      </w:pPr>
      <w:r>
        <w:rPr>
          <w:rFonts w:hint="eastAsia"/>
        </w:rPr>
        <w:t>绩效挂钩：将无人机火点发现及时率（目标≥90%）、数据准确率（目标≥98%）纳入护林员年度考核，与绩效奖金直接关联。</w:t>
      </w:r>
    </w:p>
    <w:p w14:paraId="75B7DBB6">
      <w:pPr>
        <w:pStyle w:val="5"/>
      </w:pPr>
      <w:r>
        <w:rPr>
          <w:rFonts w:hint="eastAsia"/>
        </w:rPr>
        <w:t>地面火情监测子系统</w:t>
      </w:r>
    </w:p>
    <w:p w14:paraId="75B7DBB7">
      <w:pPr>
        <w:pStyle w:val="6"/>
        <w:ind w:firstLine="480"/>
        <w:rPr>
          <w:rFonts w:hint="eastAsia"/>
        </w:rPr>
      </w:pPr>
      <w:r>
        <w:rPr>
          <w:rFonts w:hint="eastAsia"/>
          <w:lang w:val="en-US"/>
        </w:rPr>
        <w:t>概述</w:t>
      </w:r>
    </w:p>
    <w:p w14:paraId="75B7DBB8">
      <w:pPr>
        <w:ind w:firstLine="480"/>
        <w:rPr>
          <w:rFonts w:hint="eastAsia"/>
        </w:rPr>
      </w:pPr>
      <w:r>
        <w:rPr>
          <w:rFonts w:hint="eastAsia"/>
        </w:rPr>
        <w:t>为精准捕捉林区火情隐患、织密地面监测网络，项目将配备17台一体化云台摄像机，凭借其高清拍摄、灵活转向及远距离监测能力，实现对重点林区、复杂地形的全方位覆盖；新增9套林火视频监控系统前端、5套林火视频中央控制系统、共享高位监控268处与203套北斗手持巡护终端，通过前端设备的实时采集与中央系统的集中管控，构建“前端感知—后端研判”的闭环监测机制，进一步完善岳阳市森林火灾高风险区森林防火监控系统，填补地面监测盲区，提升火情早期发现、快速上报的响应效率，为后续应急处置提供坚实的数据支撑。</w:t>
      </w:r>
    </w:p>
    <w:p w14:paraId="75B7DBB9">
      <w:pPr>
        <w:pStyle w:val="6"/>
        <w:ind w:firstLine="480"/>
        <w:rPr>
          <w:rFonts w:hint="eastAsia"/>
        </w:rPr>
      </w:pPr>
      <w:r>
        <w:rPr>
          <w:rFonts w:hint="eastAsia"/>
        </w:rPr>
        <w:t>地面火情检测架构图</w:t>
      </w:r>
    </w:p>
    <w:p w14:paraId="75B7DBBA">
      <w:pPr>
        <w:spacing w:line="240" w:lineRule="auto"/>
        <w:ind w:firstLine="0" w:firstLineChars="0"/>
        <w:rPr>
          <w:rFonts w:hint="eastAsia"/>
        </w:rPr>
      </w:pPr>
      <w:r>
        <w:rPr>
          <w:rFonts w:eastAsia="仿宋"/>
          <w:sz w:val="28"/>
          <w:szCs w:val="28"/>
        </w:rPr>
        <w:drawing>
          <wp:inline distT="0" distB="0" distL="114300" distR="114300">
            <wp:extent cx="5274310" cy="2819400"/>
            <wp:effectExtent l="0" t="0" r="34290" b="25400"/>
            <wp:docPr id="23"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27"/>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5274310" cy="2819750"/>
                    </a:xfrm>
                    <a:prstGeom prst="rect">
                      <a:avLst/>
                    </a:prstGeom>
                    <a:noFill/>
                    <a:ln>
                      <a:noFill/>
                    </a:ln>
                    <a:effectLst>
                      <a:outerShdw dist="35921" dir="2699999" algn="ctr" rotWithShape="0">
                        <a:srgbClr val="FFFFFF"/>
                      </a:outerShdw>
                    </a:effectLst>
                  </pic:spPr>
                </pic:pic>
              </a:graphicData>
            </a:graphic>
          </wp:inline>
        </w:drawing>
      </w:r>
    </w:p>
    <w:p w14:paraId="75B7DBBB">
      <w:pPr>
        <w:pStyle w:val="6"/>
        <w:ind w:firstLine="480"/>
        <w:rPr>
          <w:rFonts w:hint="eastAsia"/>
        </w:rPr>
      </w:pPr>
      <w:r>
        <w:rPr>
          <w:rFonts w:hint="eastAsia"/>
        </w:rPr>
        <w:t>一体化云台摄像机</w:t>
      </w:r>
    </w:p>
    <w:p w14:paraId="75B7DBBC">
      <w:pPr>
        <w:ind w:firstLine="480"/>
        <w:rPr>
          <w:rFonts w:hint="eastAsia" w:eastAsia="仿宋_GB2312"/>
          <w:lang w:val="en-US" w:eastAsia="zh-CN"/>
        </w:rPr>
      </w:pPr>
      <w:r>
        <w:rPr>
          <w:rFonts w:hint="eastAsia"/>
        </w:rPr>
        <w:t>一、</w:t>
      </w:r>
      <w:r>
        <w:rPr>
          <w:rFonts w:hint="eastAsia"/>
          <w:lang w:val="en-US" w:eastAsia="zh-CN"/>
        </w:rPr>
        <w:t>概述</w:t>
      </w:r>
    </w:p>
    <w:p w14:paraId="75B7DBBD">
      <w:pPr>
        <w:ind w:firstLine="480"/>
        <w:rPr>
          <w:rFonts w:hint="eastAsia"/>
        </w:rPr>
      </w:pPr>
      <w:r>
        <w:rPr>
          <w:rFonts w:hint="eastAsia"/>
        </w:rPr>
        <w:t>视频监控主要针对高风险林地区域进行布设，完成森林防火等实时监控。实现从“人防”向“技防+人防”的转变，提升林区火情监管处置水平和工作效率。</w:t>
      </w:r>
    </w:p>
    <w:p w14:paraId="75B7DBBE">
      <w:pPr>
        <w:ind w:firstLine="480"/>
        <w:rPr>
          <w:rFonts w:hint="eastAsia"/>
        </w:rPr>
      </w:pPr>
      <w:r>
        <w:rPr>
          <w:rFonts w:hint="eastAsia"/>
        </w:rPr>
        <w:t>本次项目根据岳阳市林地资源现状基础及项目实际，共规划防火监控摄像机17台。其中一体化云台摄像机I型（3KM热成像）9台、一体化云台摄像机Ⅱ型（5KM热成像）8台。</w:t>
      </w:r>
    </w:p>
    <w:p w14:paraId="75B7DBBF">
      <w:pPr>
        <w:ind w:firstLine="480"/>
        <w:rPr>
          <w:rFonts w:hint="eastAsia"/>
        </w:rPr>
      </w:pPr>
      <w:r>
        <w:rPr>
          <w:rFonts w:hint="eastAsia"/>
        </w:rPr>
        <w:t>热成像双光谱云台摄像机能够在复杂电磁环境条件下实现对林区区域目标进行远距离探测、捕获、跟踪、测量的设备，具备昼夜工作能力，通过高位安装（</w:t>
      </w:r>
      <w:r>
        <w:rPr>
          <w:rFonts w:hint="eastAsia"/>
          <w:lang w:val="en-US"/>
        </w:rPr>
        <w:t>不低于25米杆塔进行安装</w:t>
      </w:r>
      <w:r>
        <w:rPr>
          <w:rFonts w:hint="eastAsia"/>
        </w:rPr>
        <w:t>），可完成目标的捕获、跟踪和角度测量、视频显示。</w:t>
      </w:r>
    </w:p>
    <w:p w14:paraId="75B7DC61">
      <w:pPr>
        <w:ind w:firstLine="480"/>
        <w:rPr>
          <w:rFonts w:hint="eastAsia"/>
        </w:rPr>
      </w:pPr>
      <w:r>
        <w:rPr>
          <w:rFonts w:hint="eastAsia"/>
          <w:lang w:val="en-US" w:eastAsia="zh-CN"/>
        </w:rPr>
        <w:t>二</w:t>
      </w:r>
      <w:r>
        <w:rPr>
          <w:rFonts w:hint="eastAsia"/>
        </w:rPr>
        <w:t>、监控点位布局</w:t>
      </w:r>
    </w:p>
    <w:p w14:paraId="75B7DC62">
      <w:pPr>
        <w:ind w:firstLine="480"/>
        <w:rPr>
          <w:rFonts w:hint="eastAsia"/>
        </w:rPr>
      </w:pPr>
      <w:r>
        <w:rPr>
          <w:rFonts w:hint="eastAsia"/>
        </w:rPr>
        <w:t>灾害风险视频监控站点位于高风险林区内，四周一般都有较高的灌木林，森林防火智能监控要求的视野广、无障碍、监控角度大，尽量少设监控点，并尽可能使得每个监控点监控覆盖的森林面积最大等特点，需要采用杆塔提升到一定的高度（</w:t>
      </w:r>
      <w:r>
        <w:rPr>
          <w:rFonts w:hint="eastAsia"/>
          <w:lang w:val="en-US"/>
        </w:rPr>
        <w:t>杆塔不低于25米高度</w:t>
      </w:r>
      <w:r>
        <w:rPr>
          <w:rFonts w:hint="eastAsia"/>
        </w:rPr>
        <w:t>）来满足森林防火智能监控的要求。</w:t>
      </w:r>
    </w:p>
    <w:p w14:paraId="75B7DC63">
      <w:pPr>
        <w:ind w:firstLine="480"/>
        <w:rPr>
          <w:rFonts w:hint="eastAsia"/>
        </w:rPr>
      </w:pPr>
      <w:r>
        <w:rPr>
          <w:rFonts w:hint="eastAsia"/>
        </w:rPr>
        <w:t>杆塔类型选择：</w:t>
      </w:r>
    </w:p>
    <w:p w14:paraId="75B7DC64">
      <w:pPr>
        <w:ind w:firstLine="480"/>
        <w:rPr>
          <w:rFonts w:hint="eastAsia"/>
        </w:rPr>
      </w:pPr>
      <w:r>
        <w:rPr>
          <w:rFonts w:hint="eastAsia"/>
        </w:rPr>
        <w:t>站点杆塔的建设方式，可以根据选址点的实际情况确定，如果附近有现有信息资源的杆塔，采用附近已有的杆塔；</w:t>
      </w:r>
    </w:p>
    <w:p w14:paraId="75B7DC65">
      <w:pPr>
        <w:ind w:firstLine="480"/>
        <w:rPr>
          <w:rFonts w:hint="eastAsia"/>
        </w:rPr>
      </w:pPr>
      <w:r>
        <w:rPr>
          <w:rFonts w:hint="eastAsia"/>
        </w:rPr>
        <w:t>地面塔采用的塔形有角钢塔、三管塔、单管塔。</w:t>
      </w:r>
    </w:p>
    <w:p w14:paraId="75B7DC66">
      <w:pPr>
        <w:ind w:firstLine="480"/>
        <w:rPr>
          <w:rFonts w:hint="eastAsia"/>
        </w:rPr>
      </w:pPr>
      <w:r>
        <w:rPr>
          <w:rFonts w:hint="eastAsia"/>
          <w:lang w:val="en-US" w:eastAsia="zh-CN"/>
        </w:rPr>
        <w:t>三</w:t>
      </w:r>
      <w:r>
        <w:rPr>
          <w:rFonts w:hint="eastAsia"/>
        </w:rPr>
        <w:t>、设备配电要求</w:t>
      </w:r>
    </w:p>
    <w:p w14:paraId="75B7DC67">
      <w:pPr>
        <w:ind w:firstLine="480"/>
        <w:rPr>
          <w:rFonts w:hint="eastAsia"/>
        </w:rPr>
      </w:pPr>
      <w:r>
        <w:rPr>
          <w:rFonts w:hint="eastAsia"/>
        </w:rPr>
        <w:t>选取点位需要具备稳定的供电电源，需提供不低于3小时备电服务。</w:t>
      </w:r>
    </w:p>
    <w:p w14:paraId="75B7DC68">
      <w:pPr>
        <w:pStyle w:val="6"/>
        <w:ind w:firstLine="480"/>
        <w:rPr>
          <w:rFonts w:hint="eastAsia"/>
        </w:rPr>
      </w:pPr>
      <w:r>
        <w:rPr>
          <w:rFonts w:hint="eastAsia"/>
        </w:rPr>
        <w:t>存量高位共享</w:t>
      </w:r>
    </w:p>
    <w:p w14:paraId="75B7DC69">
      <w:pPr>
        <w:ind w:firstLine="480"/>
        <w:rPr>
          <w:rFonts w:hint="eastAsia"/>
        </w:rPr>
      </w:pPr>
      <w:r>
        <w:rPr>
          <w:rFonts w:hint="eastAsia"/>
        </w:rPr>
        <w:t>充分利用岳阳市高位视频建设已有成果，尤其是林业局各级部门在数据梳理、归集、治理的成果，与市、区（县）、镇实现数据共享。推进效能革命，坚持数字赋能，推动资源要素的加快集聚、互动、融合，提升行政效能、实现降本增效，推进“岳阳市智慧森林防火”建设。</w:t>
      </w:r>
    </w:p>
    <w:p w14:paraId="75B7DC6A">
      <w:pPr>
        <w:ind w:firstLine="480"/>
        <w:rPr>
          <w:rFonts w:hint="eastAsia"/>
        </w:rPr>
      </w:pPr>
      <w:r>
        <w:rPr>
          <w:rFonts w:hint="eastAsia"/>
        </w:rPr>
        <w:t>本期拟对已建的268处国土、森防监控进行存量接入，</w:t>
      </w:r>
      <w:r>
        <w:rPr>
          <w:rFonts w:hint="eastAsia"/>
          <w:lang w:val="en-US"/>
        </w:rPr>
        <w:t>型号为有大华DH-SD03-TT、SD03-TT-HN、DH-TPC-PT83CT；海康DS-2DE9440CP-SLP-HN2023等型号。268路摄像头前端运行正常，在第三方平台正常运行使用，可提供视频流。通</w:t>
      </w:r>
      <w:r>
        <w:rPr>
          <w:rFonts w:hint="eastAsia"/>
        </w:rPr>
        <w:t>过数据专网统一接入地面火情监测子系统，实现全市林业部门业务需求监控。</w:t>
      </w:r>
    </w:p>
    <w:p w14:paraId="75B7DC6B">
      <w:pPr>
        <w:ind w:firstLine="480"/>
        <w:rPr>
          <w:rFonts w:hint="eastAsia"/>
        </w:rPr>
      </w:pPr>
      <w:r>
        <w:rPr>
          <w:rFonts w:hint="eastAsia"/>
        </w:rPr>
        <w:t>地面火情监测子系统共享点位情况如下：</w:t>
      </w:r>
    </w:p>
    <w:p w14:paraId="75B7DC6C">
      <w:pPr>
        <w:ind w:firstLine="480"/>
        <w:rPr>
          <w:rFonts w:hint="eastAsia"/>
        </w:rPr>
      </w:pPr>
      <w:r>
        <w:rPr>
          <w:rFonts w:hint="eastAsia"/>
        </w:rPr>
        <w:t>拟建共享视频监控268个，全部利旧共享。</w:t>
      </w:r>
    </w:p>
    <w:tbl>
      <w:tblPr>
        <w:tblStyle w:val="38"/>
        <w:tblW w:w="8633" w:type="dxa"/>
        <w:jc w:val="center"/>
        <w:tblLayout w:type="autofit"/>
        <w:tblCellMar>
          <w:top w:w="0" w:type="dxa"/>
          <w:left w:w="108" w:type="dxa"/>
          <w:bottom w:w="0" w:type="dxa"/>
          <w:right w:w="108" w:type="dxa"/>
        </w:tblCellMar>
      </w:tblPr>
      <w:tblGrid>
        <w:gridCol w:w="1285"/>
        <w:gridCol w:w="2419"/>
        <w:gridCol w:w="4929"/>
      </w:tblGrid>
      <w:tr w14:paraId="75B7DC70">
        <w:tblPrEx>
          <w:tblCellMar>
            <w:top w:w="0" w:type="dxa"/>
            <w:left w:w="108" w:type="dxa"/>
            <w:bottom w:w="0" w:type="dxa"/>
            <w:right w:w="108" w:type="dxa"/>
          </w:tblCellMar>
        </w:tblPrEx>
        <w:trPr>
          <w:tblHeader/>
          <w:jc w:val="center"/>
        </w:trPr>
        <w:tc>
          <w:tcPr>
            <w:tcW w:w="1285"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5B7DC6D">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b/>
                <w:kern w:val="2"/>
                <w:sz w:val="21"/>
                <w:szCs w:val="21"/>
                <w:lang w:val="en-US" w:bidi="ar-SA"/>
              </w:rPr>
              <w:t>序号</w:t>
            </w:r>
          </w:p>
        </w:tc>
        <w:tc>
          <w:tcPr>
            <w:tcW w:w="2419" w:type="dxa"/>
            <w:tcBorders>
              <w:top w:val="single" w:color="auto" w:sz="4" w:space="0"/>
              <w:left w:val="nil"/>
              <w:bottom w:val="single" w:color="auto" w:sz="4" w:space="0"/>
              <w:right w:val="single" w:color="auto" w:sz="4" w:space="0"/>
            </w:tcBorders>
            <w:shd w:val="clear" w:color="000000" w:fill="FFFFFF"/>
            <w:noWrap/>
            <w:vAlign w:val="center"/>
          </w:tcPr>
          <w:p w14:paraId="75B7DC6E">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b/>
                <w:kern w:val="2"/>
                <w:sz w:val="21"/>
                <w:szCs w:val="21"/>
                <w:lang w:val="en-US" w:bidi="ar-SA"/>
              </w:rPr>
              <w:t>区域</w:t>
            </w:r>
          </w:p>
        </w:tc>
        <w:tc>
          <w:tcPr>
            <w:tcW w:w="4929" w:type="dxa"/>
            <w:tcBorders>
              <w:top w:val="single" w:color="auto" w:sz="4" w:space="0"/>
              <w:left w:val="nil"/>
              <w:bottom w:val="single" w:color="auto" w:sz="4" w:space="0"/>
              <w:right w:val="single" w:color="auto" w:sz="4" w:space="0"/>
            </w:tcBorders>
            <w:shd w:val="clear" w:color="000000" w:fill="FFFFFF"/>
            <w:vAlign w:val="center"/>
          </w:tcPr>
          <w:p w14:paraId="75B7DC6F">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b/>
                <w:kern w:val="2"/>
                <w:sz w:val="21"/>
                <w:szCs w:val="21"/>
                <w:lang w:val="en-US" w:bidi="ar-SA"/>
              </w:rPr>
              <w:t>共享存量监控点位数量</w:t>
            </w:r>
          </w:p>
        </w:tc>
      </w:tr>
      <w:tr w14:paraId="75B7DC74">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C71">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1</w:t>
            </w:r>
          </w:p>
        </w:tc>
        <w:tc>
          <w:tcPr>
            <w:tcW w:w="2419" w:type="dxa"/>
            <w:tcBorders>
              <w:top w:val="nil"/>
              <w:left w:val="nil"/>
              <w:bottom w:val="single" w:color="auto" w:sz="4" w:space="0"/>
              <w:right w:val="single" w:color="auto" w:sz="4" w:space="0"/>
            </w:tcBorders>
            <w:shd w:val="clear" w:color="000000" w:fill="FFFFFF"/>
            <w:noWrap/>
            <w:vAlign w:val="center"/>
          </w:tcPr>
          <w:p w14:paraId="75B7DC72">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临湘市</w:t>
            </w:r>
          </w:p>
        </w:tc>
        <w:tc>
          <w:tcPr>
            <w:tcW w:w="4929" w:type="dxa"/>
            <w:tcBorders>
              <w:top w:val="nil"/>
              <w:left w:val="nil"/>
              <w:bottom w:val="single" w:color="auto" w:sz="4" w:space="0"/>
              <w:right w:val="single" w:color="auto" w:sz="4" w:space="0"/>
            </w:tcBorders>
            <w:shd w:val="clear" w:color="000000" w:fill="FFFFFF"/>
            <w:vAlign w:val="center"/>
          </w:tcPr>
          <w:p w14:paraId="75B7DC7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37</w:t>
            </w:r>
          </w:p>
        </w:tc>
      </w:tr>
      <w:tr w14:paraId="75B7DC78">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C75">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3</w:t>
            </w:r>
          </w:p>
        </w:tc>
        <w:tc>
          <w:tcPr>
            <w:tcW w:w="2419" w:type="dxa"/>
            <w:tcBorders>
              <w:top w:val="nil"/>
              <w:left w:val="nil"/>
              <w:bottom w:val="single" w:color="auto" w:sz="4" w:space="0"/>
              <w:right w:val="single" w:color="auto" w:sz="4" w:space="0"/>
            </w:tcBorders>
            <w:shd w:val="clear" w:color="000000" w:fill="FFFFFF"/>
            <w:noWrap/>
            <w:vAlign w:val="center"/>
          </w:tcPr>
          <w:p w14:paraId="75B7DC76">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汨罗市</w:t>
            </w:r>
          </w:p>
        </w:tc>
        <w:tc>
          <w:tcPr>
            <w:tcW w:w="4929" w:type="dxa"/>
            <w:tcBorders>
              <w:top w:val="nil"/>
              <w:left w:val="nil"/>
              <w:bottom w:val="single" w:color="auto" w:sz="4" w:space="0"/>
              <w:right w:val="single" w:color="auto" w:sz="4" w:space="0"/>
            </w:tcBorders>
            <w:shd w:val="clear" w:color="000000" w:fill="FFFFFF"/>
            <w:vAlign w:val="center"/>
          </w:tcPr>
          <w:p w14:paraId="75B7DC7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25</w:t>
            </w:r>
          </w:p>
        </w:tc>
      </w:tr>
      <w:tr w14:paraId="75B7DC7C">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C79">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4</w:t>
            </w:r>
          </w:p>
        </w:tc>
        <w:tc>
          <w:tcPr>
            <w:tcW w:w="2419" w:type="dxa"/>
            <w:tcBorders>
              <w:top w:val="nil"/>
              <w:left w:val="nil"/>
              <w:bottom w:val="single" w:color="auto" w:sz="4" w:space="0"/>
              <w:right w:val="single" w:color="auto" w:sz="4" w:space="0"/>
            </w:tcBorders>
            <w:shd w:val="clear" w:color="000000" w:fill="FFFFFF"/>
            <w:noWrap/>
            <w:vAlign w:val="center"/>
          </w:tcPr>
          <w:p w14:paraId="75B7DC7A">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平江县</w:t>
            </w:r>
          </w:p>
        </w:tc>
        <w:tc>
          <w:tcPr>
            <w:tcW w:w="4929" w:type="dxa"/>
            <w:tcBorders>
              <w:top w:val="nil"/>
              <w:left w:val="nil"/>
              <w:bottom w:val="single" w:color="auto" w:sz="4" w:space="0"/>
              <w:right w:val="single" w:color="auto" w:sz="4" w:space="0"/>
            </w:tcBorders>
            <w:shd w:val="clear" w:color="000000" w:fill="FFFFFF"/>
            <w:vAlign w:val="center"/>
          </w:tcPr>
          <w:p w14:paraId="75B7DC7B">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134</w:t>
            </w:r>
          </w:p>
        </w:tc>
      </w:tr>
      <w:tr w14:paraId="75B7DC80">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C7D">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6</w:t>
            </w:r>
          </w:p>
        </w:tc>
        <w:tc>
          <w:tcPr>
            <w:tcW w:w="2419" w:type="dxa"/>
            <w:tcBorders>
              <w:top w:val="nil"/>
              <w:left w:val="nil"/>
              <w:bottom w:val="single" w:color="auto" w:sz="4" w:space="0"/>
              <w:right w:val="single" w:color="auto" w:sz="4" w:space="0"/>
            </w:tcBorders>
            <w:shd w:val="clear" w:color="000000" w:fill="FFFFFF"/>
            <w:noWrap/>
            <w:vAlign w:val="center"/>
          </w:tcPr>
          <w:p w14:paraId="75B7DC7E">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岳阳县</w:t>
            </w:r>
          </w:p>
        </w:tc>
        <w:tc>
          <w:tcPr>
            <w:tcW w:w="4929" w:type="dxa"/>
            <w:tcBorders>
              <w:top w:val="nil"/>
              <w:left w:val="nil"/>
              <w:bottom w:val="single" w:color="auto" w:sz="4" w:space="0"/>
              <w:right w:val="single" w:color="auto" w:sz="4" w:space="0"/>
            </w:tcBorders>
            <w:shd w:val="clear" w:color="000000" w:fill="FFFFFF"/>
            <w:vAlign w:val="center"/>
          </w:tcPr>
          <w:p w14:paraId="75B7DC7F">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44</w:t>
            </w:r>
          </w:p>
        </w:tc>
      </w:tr>
      <w:tr w14:paraId="75B7DC84">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C81">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7</w:t>
            </w:r>
          </w:p>
        </w:tc>
        <w:tc>
          <w:tcPr>
            <w:tcW w:w="2419" w:type="dxa"/>
            <w:tcBorders>
              <w:top w:val="nil"/>
              <w:left w:val="nil"/>
              <w:bottom w:val="single" w:color="auto" w:sz="4" w:space="0"/>
              <w:right w:val="single" w:color="auto" w:sz="4" w:space="0"/>
            </w:tcBorders>
            <w:shd w:val="clear" w:color="000000" w:fill="FFFFFF"/>
            <w:noWrap/>
            <w:vAlign w:val="center"/>
          </w:tcPr>
          <w:p w14:paraId="75B7DC82">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岳阳楼区</w:t>
            </w:r>
          </w:p>
        </w:tc>
        <w:tc>
          <w:tcPr>
            <w:tcW w:w="4929" w:type="dxa"/>
            <w:tcBorders>
              <w:top w:val="nil"/>
              <w:left w:val="nil"/>
              <w:bottom w:val="single" w:color="auto" w:sz="4" w:space="0"/>
              <w:right w:val="single" w:color="auto" w:sz="4" w:space="0"/>
            </w:tcBorders>
            <w:shd w:val="clear" w:color="000000" w:fill="FFFFFF"/>
            <w:vAlign w:val="center"/>
          </w:tcPr>
          <w:p w14:paraId="75B7DC8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13</w:t>
            </w:r>
          </w:p>
        </w:tc>
      </w:tr>
      <w:tr w14:paraId="75B7DC88">
        <w:tblPrEx>
          <w:tblCellMar>
            <w:top w:w="0" w:type="dxa"/>
            <w:left w:w="108" w:type="dxa"/>
            <w:bottom w:w="0" w:type="dxa"/>
            <w:right w:w="108" w:type="dxa"/>
          </w:tblCellMar>
        </w:tblPrEx>
        <w:trPr>
          <w:jc w:val="center"/>
        </w:trPr>
        <w:tc>
          <w:tcPr>
            <w:tcW w:w="1285" w:type="dxa"/>
            <w:tcBorders>
              <w:top w:val="nil"/>
              <w:left w:val="single" w:color="auto" w:sz="4" w:space="0"/>
              <w:bottom w:val="single" w:color="auto" w:sz="4" w:space="0"/>
              <w:right w:val="single" w:color="auto" w:sz="4" w:space="0"/>
            </w:tcBorders>
            <w:shd w:val="clear" w:color="000000" w:fill="FFFFFF"/>
            <w:noWrap/>
            <w:vAlign w:val="center"/>
          </w:tcPr>
          <w:p w14:paraId="75B7DC85">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8</w:t>
            </w:r>
          </w:p>
        </w:tc>
        <w:tc>
          <w:tcPr>
            <w:tcW w:w="2419" w:type="dxa"/>
            <w:tcBorders>
              <w:top w:val="nil"/>
              <w:left w:val="nil"/>
              <w:bottom w:val="single" w:color="auto" w:sz="4" w:space="0"/>
              <w:right w:val="single" w:color="auto" w:sz="4" w:space="0"/>
            </w:tcBorders>
            <w:shd w:val="clear" w:color="000000" w:fill="FFFFFF"/>
            <w:noWrap/>
            <w:vAlign w:val="center"/>
          </w:tcPr>
          <w:p w14:paraId="75B7DC86">
            <w:pPr>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云溪区</w:t>
            </w:r>
          </w:p>
        </w:tc>
        <w:tc>
          <w:tcPr>
            <w:tcW w:w="4929" w:type="dxa"/>
            <w:tcBorders>
              <w:top w:val="nil"/>
              <w:left w:val="nil"/>
              <w:bottom w:val="single" w:color="auto" w:sz="4" w:space="0"/>
              <w:right w:val="single" w:color="auto" w:sz="4" w:space="0"/>
            </w:tcBorders>
            <w:shd w:val="clear" w:color="000000" w:fill="FFFFFF"/>
            <w:vAlign w:val="center"/>
          </w:tcPr>
          <w:p w14:paraId="75B7DC8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Times New Roman" w:cs="Times New Roman"/>
                <w:kern w:val="2"/>
                <w:sz w:val="21"/>
                <w:szCs w:val="21"/>
                <w:lang w:val="en-US" w:bidi="ar-SA"/>
              </w:rPr>
              <w:t>15</w:t>
            </w:r>
          </w:p>
        </w:tc>
      </w:tr>
      <w:tr w14:paraId="75B7DC8B">
        <w:tblPrEx>
          <w:tblCellMar>
            <w:top w:w="0" w:type="dxa"/>
            <w:left w:w="108" w:type="dxa"/>
            <w:bottom w:w="0" w:type="dxa"/>
            <w:right w:w="108" w:type="dxa"/>
          </w:tblCellMar>
        </w:tblPrEx>
        <w:trPr>
          <w:jc w:val="center"/>
        </w:trPr>
        <w:tc>
          <w:tcPr>
            <w:tcW w:w="3704"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14:paraId="75B7DC89">
            <w:pPr>
              <w:autoSpaceDE/>
              <w:autoSpaceDN/>
              <w:snapToGrid w:val="0"/>
              <w:spacing w:line="240" w:lineRule="auto"/>
              <w:ind w:firstLine="0" w:firstLineChars="0"/>
              <w:jc w:val="center"/>
              <w:rPr>
                <w:rFonts w:hint="eastAsia" w:ascii="仿宋_GB2312" w:hAnsi="方正仿宋_GB2312" w:cs="方正仿宋_GB2312"/>
                <w:b/>
                <w:kern w:val="2"/>
                <w:sz w:val="21"/>
                <w:szCs w:val="21"/>
                <w:lang w:val="en-US" w:bidi="ar-SA"/>
              </w:rPr>
            </w:pPr>
            <w:r>
              <w:rPr>
                <w:rFonts w:hint="eastAsia" w:ascii="仿宋_GB2312" w:hAnsi="方正仿宋_GB2312" w:cs="方正仿宋_GB2312"/>
                <w:kern w:val="2"/>
                <w:sz w:val="21"/>
                <w:szCs w:val="21"/>
                <w:lang w:val="en-US" w:bidi="ar-SA"/>
              </w:rPr>
              <w:t>合计</w:t>
            </w:r>
          </w:p>
        </w:tc>
        <w:tc>
          <w:tcPr>
            <w:tcW w:w="4929" w:type="dxa"/>
            <w:tcBorders>
              <w:top w:val="single" w:color="auto" w:sz="4" w:space="0"/>
              <w:left w:val="single" w:color="auto" w:sz="4" w:space="0"/>
              <w:bottom w:val="single" w:color="auto" w:sz="4" w:space="0"/>
              <w:right w:val="single" w:color="auto" w:sz="4" w:space="0"/>
            </w:tcBorders>
            <w:shd w:val="clear" w:color="000000" w:fill="FFFFFF"/>
            <w:vAlign w:val="center"/>
          </w:tcPr>
          <w:p w14:paraId="75B7DC8A">
            <w:pPr>
              <w:autoSpaceDE/>
              <w:autoSpaceDN/>
              <w:snapToGrid w:val="0"/>
              <w:spacing w:line="240" w:lineRule="auto"/>
              <w:ind w:firstLine="0" w:firstLineChars="0"/>
              <w:jc w:val="center"/>
              <w:rPr>
                <w:rFonts w:ascii="仿宋_GB2312" w:hAnsi="Times New Roman" w:cs="Times New Roman"/>
                <w:b/>
                <w:kern w:val="2"/>
                <w:sz w:val="21"/>
                <w:szCs w:val="21"/>
                <w:lang w:val="en-US" w:bidi="ar-SA"/>
              </w:rPr>
            </w:pPr>
            <w:r>
              <w:rPr>
                <w:rFonts w:hint="eastAsia" w:ascii="仿宋_GB2312" w:hAnsi="Times New Roman" w:cs="Times New Roman"/>
                <w:kern w:val="2"/>
                <w:sz w:val="21"/>
                <w:szCs w:val="21"/>
                <w:lang w:val="en-US" w:bidi="ar-SA"/>
              </w:rPr>
              <w:t>268</w:t>
            </w:r>
          </w:p>
        </w:tc>
      </w:tr>
    </w:tbl>
    <w:p w14:paraId="75B7DC8D">
      <w:pPr>
        <w:spacing w:line="240" w:lineRule="auto"/>
        <w:ind w:firstLine="0" w:firstLineChars="0"/>
        <w:rPr>
          <w:rFonts w:hint="eastAsia"/>
        </w:rPr>
      </w:pPr>
      <w:bookmarkStart w:id="295" w:name="_GoBack"/>
      <w:bookmarkEnd w:id="295"/>
    </w:p>
    <w:p w14:paraId="75B7DC8E">
      <w:pPr>
        <w:pStyle w:val="6"/>
        <w:ind w:firstLine="480"/>
        <w:rPr>
          <w:rFonts w:hint="eastAsia"/>
        </w:rPr>
      </w:pPr>
      <w:r>
        <w:rPr>
          <w:rFonts w:hint="eastAsia"/>
        </w:rPr>
        <w:t>林火视频监控系统前端</w:t>
      </w:r>
    </w:p>
    <w:p w14:paraId="75B7DC8F">
      <w:pPr>
        <w:ind w:firstLine="480"/>
        <w:rPr>
          <w:rFonts w:hint="eastAsia"/>
        </w:rPr>
      </w:pPr>
      <w:r>
        <w:rPr>
          <w:rFonts w:hint="eastAsia"/>
        </w:rPr>
        <w:t>充分利用信息技术和现代高科技手段，加强新技术应用，在项目区重点林场、人为活动集中区域，布设森林视频监控，提高火情瞭望监测效率</w:t>
      </w:r>
      <w:r>
        <w:rPr>
          <w:rFonts w:hint="eastAsia" w:ascii="仿宋_GB2312" w:hAnsi="仿宋_GB2312" w:cs="仿宋_GB2312"/>
        </w:rPr>
        <w:t>，建设标准必须符合《森林防火视频监控系统技术规范》和《森林防火视频监控图像联网技术规范》。</w:t>
      </w:r>
    </w:p>
    <w:p w14:paraId="75B7DC90">
      <w:pPr>
        <w:ind w:firstLine="480"/>
        <w:rPr>
          <w:rFonts w:hint="eastAsia"/>
        </w:rPr>
      </w:pPr>
      <w:r>
        <w:rPr>
          <w:rFonts w:hint="eastAsia"/>
        </w:rPr>
        <w:t>本期建设9套5公里热成像双光谱摄像机，</w:t>
      </w:r>
      <w:r>
        <w:rPr>
          <w:rFonts w:hint="eastAsia"/>
          <w:highlight w:val="none"/>
        </w:rPr>
        <w:t>配套9根2</w:t>
      </w:r>
      <w:r>
        <w:rPr>
          <w:rFonts w:hint="eastAsia"/>
          <w:highlight w:val="none"/>
          <w:lang w:val="en-US" w:eastAsia="zh-CN"/>
        </w:rPr>
        <w:t>0</w:t>
      </w:r>
      <w:r>
        <w:rPr>
          <w:rFonts w:hint="eastAsia"/>
          <w:highlight w:val="none"/>
        </w:rPr>
        <w:t>米单管塔建设。2</w:t>
      </w:r>
      <w:r>
        <w:rPr>
          <w:rFonts w:hint="eastAsia"/>
          <w:highlight w:val="none"/>
          <w:lang w:val="en-US" w:eastAsia="zh-CN"/>
        </w:rPr>
        <w:t>0</w:t>
      </w:r>
      <w:r>
        <w:rPr>
          <w:rFonts w:hint="eastAsia"/>
          <w:highlight w:val="none"/>
        </w:rPr>
        <w:t>米单管塔塔身结构</w:t>
      </w:r>
      <w:r>
        <w:rPr>
          <w:rFonts w:hint="eastAsia"/>
        </w:rPr>
        <w:t>：塔身分为3-4段（每段5—8米），通过法兰盘和M24高强螺栓连接，截面为圆形或多边形，整体呈锥形（下大上小）。主材为Q345B或GR65高强度钢，辅材为Q235，塔身整体呈锥形。底部直径≥400mm（壁厚8mm），顶部直径≥200mm。其塔型主要优点为：占地面积小，构造简单，运输、安装方便和结构安全可靠；受风荷载计算时体形系数小，适合山区及居民稀疏区域建设。下部基础采用筏板基础，基础底板、柱头及连系梁混凝土强度等级为C25，其余混凝土强度均为C25。通常采用2.5m×2.5m×1.5m，预埋8根M30地脚螺栓不等。基础埋深具体视建设场地地质情况而定。</w:t>
      </w:r>
    </w:p>
    <w:p w14:paraId="75B7DC91">
      <w:pPr>
        <w:ind w:firstLine="482"/>
        <w:rPr>
          <w:rFonts w:hint="eastAsia"/>
          <w:b/>
          <w:bCs/>
        </w:rPr>
      </w:pPr>
      <w:r>
        <w:rPr>
          <w:rFonts w:hint="eastAsia"/>
          <w:b/>
          <w:bCs/>
        </w:rPr>
        <w:t>线路防雷</w:t>
      </w:r>
    </w:p>
    <w:p w14:paraId="75B7DC92">
      <w:pPr>
        <w:ind w:firstLine="480"/>
        <w:rPr>
          <w:rFonts w:hint="eastAsia"/>
        </w:rPr>
      </w:pPr>
      <w:r>
        <w:rPr>
          <w:rFonts w:hint="eastAsia"/>
        </w:rPr>
        <w:t>视频监控系统的线缆主要是网线和电源线。摄像机的电源主要从机箱的电源引入。传输视频电缆一般选用芯屏蔽视频电缆，架设（或敷设）在前端与终端之间。</w:t>
      </w:r>
    </w:p>
    <w:p w14:paraId="75B7DC93">
      <w:pPr>
        <w:ind w:firstLine="480"/>
        <w:rPr>
          <w:rFonts w:hint="eastAsia"/>
        </w:rPr>
      </w:pPr>
      <w:r>
        <w:rPr>
          <w:rFonts w:hint="eastAsia"/>
        </w:rPr>
        <w:t>为避免首尾端设备损坏，架空线传输时应在每一电杆上做接地处理，架空线缆的吊线和架空线缆线路中的金属管道均应接地。中间放大器输入端的信号源和电源均应分别接入合适的避雷器。</w:t>
      </w:r>
    </w:p>
    <w:p w14:paraId="75B7DC94">
      <w:pPr>
        <w:ind w:firstLine="480"/>
        <w:rPr>
          <w:rFonts w:hint="eastAsia"/>
        </w:rPr>
      </w:pPr>
      <w:r>
        <w:rPr>
          <w:rFonts w:hint="eastAsia"/>
        </w:rPr>
        <w:t>采用带屏蔽层的线缆或线缆穿钢管埋地敷设，保持钢管的电气连通，对防护电磁干扰和电磁感应更为有效，这主要是由于金属管的屏蔽作用和雷电流的集肤效应。如电缆全程穿金属管有困难时，可在电缆进入终端和前端设备前穿金属管埋地引入，但埋地长度不得小于15米，在入户端将电缆金属外皮、钢管同防雷接地装置相连。</w:t>
      </w:r>
    </w:p>
    <w:p w14:paraId="75B7DC95">
      <w:pPr>
        <w:ind w:firstLine="482"/>
        <w:rPr>
          <w:rFonts w:hint="eastAsia"/>
          <w:b/>
          <w:bCs/>
        </w:rPr>
      </w:pPr>
      <w:r>
        <w:rPr>
          <w:rFonts w:hint="eastAsia"/>
          <w:b/>
          <w:bCs/>
        </w:rPr>
        <w:t>防雷引线</w:t>
      </w:r>
    </w:p>
    <w:p w14:paraId="75B7DC96">
      <w:pPr>
        <w:ind w:firstLine="480"/>
        <w:rPr>
          <w:rFonts w:hint="eastAsia"/>
        </w:rPr>
      </w:pPr>
      <w:r>
        <w:rPr>
          <w:rFonts w:hint="eastAsia"/>
        </w:rPr>
        <w:t>引下线采用支撑杆本身或用镀锌圆钢接地，为获得好的电气传导性能，避免大的接触电阻，引下线与接地极的连接采用放热焊接。</w:t>
      </w:r>
    </w:p>
    <w:p w14:paraId="75B7DC97">
      <w:pPr>
        <w:ind w:firstLine="482"/>
        <w:rPr>
          <w:rFonts w:hint="eastAsia"/>
          <w:b/>
          <w:bCs/>
        </w:rPr>
      </w:pPr>
      <w:r>
        <w:rPr>
          <w:rFonts w:hint="eastAsia"/>
          <w:b/>
          <w:bCs/>
        </w:rPr>
        <w:t>配套供电</w:t>
      </w:r>
    </w:p>
    <w:p w14:paraId="75B7DC98">
      <w:pPr>
        <w:spacing w:line="360" w:lineRule="auto"/>
        <w:ind w:firstLine="480"/>
        <w:rPr>
          <w:rFonts w:hint="eastAsia" w:cs="Times New Roman" w:asciiTheme="minorEastAsia" w:hAnsiTheme="minorEastAsia"/>
          <w:szCs w:val="24"/>
        </w:rPr>
      </w:pPr>
      <w:r>
        <w:rPr>
          <w:rFonts w:hint="eastAsia" w:cs="Times New Roman" w:asciiTheme="minorEastAsia" w:hAnsiTheme="minorEastAsia"/>
          <w:szCs w:val="24"/>
        </w:rPr>
        <w:t>配套供电是整个系统稳定运行的保障。供电系统的设计应从全局着手，综合考虑电力负荷，负载能力，电力传输距离，设备电气特性。并结合前端现场以及后端监控中心的实际环境来进行设计。</w:t>
      </w:r>
    </w:p>
    <w:p w14:paraId="75B7DC99">
      <w:pPr>
        <w:spacing w:line="360" w:lineRule="auto"/>
        <w:ind w:firstLine="480"/>
        <w:rPr>
          <w:rFonts w:hint="eastAsia" w:cs="Times New Roman" w:asciiTheme="minorEastAsia" w:hAnsiTheme="minorEastAsia"/>
          <w:szCs w:val="24"/>
        </w:rPr>
      </w:pPr>
      <w:r>
        <w:rPr>
          <w:rFonts w:hint="eastAsia" w:cs="Times New Roman" w:asciiTheme="minorEastAsia" w:hAnsiTheme="minorEastAsia"/>
          <w:szCs w:val="24"/>
        </w:rPr>
        <w:t>电源系统的设计原则和要求如下：</w:t>
      </w:r>
    </w:p>
    <w:p w14:paraId="75B7DC9A">
      <w:pPr>
        <w:spacing w:line="360" w:lineRule="auto"/>
        <w:ind w:firstLine="480"/>
        <w:rPr>
          <w:rFonts w:hint="eastAsia" w:cs="Times New Roman" w:asciiTheme="minorEastAsia" w:hAnsiTheme="minorEastAsia"/>
          <w:szCs w:val="24"/>
        </w:rPr>
      </w:pPr>
      <w:r>
        <w:rPr>
          <w:rFonts w:hint="eastAsia" w:cs="Times New Roman" w:asciiTheme="minorEastAsia" w:hAnsiTheme="minorEastAsia"/>
          <w:szCs w:val="24"/>
        </w:rPr>
        <w:t>实用性：要求结合本系统的现场环境特点以及系统中各级设备的电气性能，做到实用、适用。</w:t>
      </w:r>
    </w:p>
    <w:p w14:paraId="75B7DC9B">
      <w:pPr>
        <w:spacing w:line="360" w:lineRule="auto"/>
        <w:ind w:firstLine="480"/>
        <w:rPr>
          <w:rFonts w:hint="eastAsia" w:cs="Times New Roman" w:asciiTheme="minorEastAsia" w:hAnsiTheme="minorEastAsia"/>
          <w:szCs w:val="24"/>
        </w:rPr>
      </w:pPr>
      <w:r>
        <w:rPr>
          <w:rFonts w:hint="eastAsia" w:cs="Times New Roman" w:asciiTheme="minorEastAsia" w:hAnsiTheme="minorEastAsia"/>
          <w:szCs w:val="24"/>
        </w:rPr>
        <w:t>稳定性：要求供电系统具有高稳定性和高可靠性，以确保监控系统的各个功能模块和设备能够高效稳定的运行。</w:t>
      </w:r>
    </w:p>
    <w:p w14:paraId="75B7DC9C">
      <w:pPr>
        <w:spacing w:line="360" w:lineRule="auto"/>
        <w:ind w:firstLine="480"/>
        <w:rPr>
          <w:rFonts w:hint="eastAsia" w:cs="Times New Roman" w:asciiTheme="minorEastAsia" w:hAnsiTheme="minorEastAsia"/>
          <w:szCs w:val="24"/>
        </w:rPr>
      </w:pPr>
      <w:r>
        <w:rPr>
          <w:rFonts w:hint="eastAsia" w:cs="Times New Roman" w:asciiTheme="minorEastAsia" w:hAnsiTheme="minorEastAsia"/>
          <w:szCs w:val="24"/>
        </w:rPr>
        <w:t>安全性：要求供电系统的各个环节，均具备绝缘保护措施。</w:t>
      </w:r>
    </w:p>
    <w:p w14:paraId="75B7DC9D">
      <w:pPr>
        <w:spacing w:line="360" w:lineRule="auto"/>
        <w:ind w:firstLine="480"/>
        <w:rPr>
          <w:rFonts w:hint="eastAsia" w:cs="Times New Roman" w:asciiTheme="minorEastAsia" w:hAnsiTheme="minorEastAsia"/>
          <w:szCs w:val="24"/>
        </w:rPr>
      </w:pPr>
      <w:r>
        <w:rPr>
          <w:rFonts w:hint="eastAsia" w:cs="Times New Roman" w:asciiTheme="minorEastAsia" w:hAnsiTheme="minorEastAsia"/>
          <w:szCs w:val="24"/>
        </w:rPr>
        <w:t>经济性：设计出合理的电力供应网络，尽可能的节约供电线路的投入成本。</w:t>
      </w:r>
    </w:p>
    <w:p w14:paraId="75B7DC9E">
      <w:pPr>
        <w:spacing w:line="360" w:lineRule="auto"/>
        <w:ind w:firstLine="480"/>
        <w:rPr>
          <w:rFonts w:hint="eastAsia" w:cs="Times New Roman" w:asciiTheme="minorEastAsia" w:hAnsiTheme="minorEastAsia"/>
          <w:szCs w:val="24"/>
        </w:rPr>
      </w:pPr>
      <w:r>
        <w:rPr>
          <w:rFonts w:hint="eastAsia" w:cs="Times New Roman" w:asciiTheme="minorEastAsia" w:hAnsiTheme="minorEastAsia"/>
          <w:szCs w:val="24"/>
        </w:rPr>
        <w:t>可维护性：所有电力线路的敷设、电源设备的端接点及电源的分配，均要考虑到维护方便，易于检修。确保供电系统出现故障时，维护人员能在最短的时间内检测到问题并及时修复。</w:t>
      </w:r>
    </w:p>
    <w:p w14:paraId="75B7DC9F">
      <w:pPr>
        <w:ind w:firstLine="482"/>
        <w:rPr>
          <w:rFonts w:hint="eastAsia"/>
          <w:b/>
          <w:bCs/>
        </w:rPr>
      </w:pPr>
      <w:r>
        <w:rPr>
          <w:rFonts w:hint="eastAsia"/>
          <w:b/>
          <w:bCs/>
        </w:rPr>
        <w:t>布线设计</w:t>
      </w:r>
    </w:p>
    <w:p w14:paraId="75B7DCA0">
      <w:pPr>
        <w:ind w:firstLine="480"/>
        <w:rPr>
          <w:rFonts w:hint="eastAsia"/>
        </w:rPr>
      </w:pPr>
      <w:r>
        <w:rPr>
          <w:rFonts w:hint="eastAsia"/>
        </w:rPr>
        <w:t>监控系统中的影像信号通过线材传输到主机中，线材除了要求信号损耗率小外，还应重视环境对信号的影响，即屏蔽性能应高。而管材用来保护线材，也应根据保护级别不同，选用相应的管材。</w:t>
      </w:r>
    </w:p>
    <w:p w14:paraId="75B7DCA1">
      <w:pPr>
        <w:ind w:firstLine="480"/>
        <w:rPr>
          <w:rFonts w:hint="eastAsia"/>
        </w:rPr>
      </w:pPr>
      <w:r>
        <w:rPr>
          <w:rFonts w:hint="eastAsia"/>
        </w:rPr>
        <w:t>电缆布设过程中应确保所有电缆均在钢管、金属电管或桥架内不能暴露在外，应尽量避开恶劣环境条件或易使管线损伤地段，应避开干扰较大区域。</w:t>
      </w:r>
    </w:p>
    <w:p w14:paraId="75B7DCA2">
      <w:pPr>
        <w:ind w:firstLine="480"/>
        <w:rPr>
          <w:rFonts w:hint="eastAsia"/>
        </w:rPr>
      </w:pPr>
      <w:r>
        <w:rPr>
          <w:rFonts w:hint="eastAsia"/>
        </w:rPr>
        <w:t>布线过程中要标记清楚、明了，易于改线、维护、管理。</w:t>
      </w:r>
    </w:p>
    <w:p w14:paraId="75B7DCF3">
      <w:pPr>
        <w:pStyle w:val="6"/>
        <w:ind w:firstLine="480"/>
        <w:rPr>
          <w:rFonts w:hint="eastAsia"/>
        </w:rPr>
      </w:pPr>
      <w:r>
        <w:rPr>
          <w:rFonts w:hint="eastAsia"/>
        </w:rPr>
        <w:t>林火视频中央控制系统</w:t>
      </w:r>
    </w:p>
    <w:p w14:paraId="75B7DCF4">
      <w:pPr>
        <w:ind w:firstLine="480"/>
        <w:rPr>
          <w:rFonts w:hint="eastAsia"/>
        </w:rPr>
      </w:pPr>
      <w:r>
        <w:rPr>
          <w:rFonts w:hint="eastAsia"/>
        </w:rPr>
        <w:t>本期建设5套100寸会议平板，5套视频会议终端配套5套高清会议摄像头及5套全向麦克风。</w:t>
      </w:r>
    </w:p>
    <w:p w14:paraId="75B7DCF5">
      <w:pPr>
        <w:ind w:firstLine="480"/>
        <w:rPr>
          <w:rFonts w:hint="eastAsia"/>
        </w:rPr>
      </w:pPr>
      <w:r>
        <w:rPr>
          <w:rFonts w:hint="eastAsia"/>
        </w:rPr>
        <w:t>本项目配置的林火视频中央控制系统，包括火情视频监控后端综合设备、室内全彩LED显示屏、网络安全等设备，可进行防火态势、救火资源、火险等级、视频联动等内容展示。</w:t>
      </w:r>
    </w:p>
    <w:p w14:paraId="75B7DCF6">
      <w:pPr>
        <w:ind w:firstLine="480"/>
        <w:rPr>
          <w:rFonts w:hint="eastAsia"/>
        </w:rPr>
      </w:pPr>
      <w:r>
        <w:rPr>
          <w:rFonts w:hint="eastAsia"/>
        </w:rPr>
        <w:t>按照湖南省林业局按照统一规范、技术先进、上下联动、安全可靠、投资最优的原则要求，需建设覆盖省、市、县三级的森林防火视频会议系统，实现省、市、县三级可视化指挥调度和全省林业单位行政视频会议同时进行的功能要求。</w:t>
      </w:r>
    </w:p>
    <w:p w14:paraId="75B7DCF7">
      <w:pPr>
        <w:ind w:firstLine="480"/>
        <w:rPr>
          <w:rFonts w:hint="eastAsia"/>
        </w:rPr>
      </w:pPr>
      <w:r>
        <w:rPr>
          <w:rFonts w:hint="eastAsia"/>
        </w:rPr>
        <w:t>本次森林防火值班室视频会议系统采用基于标准的H.323和SIP架构，视频协议采用业界主流的H.265协议编码，可以为用户提供1080P和720P高清视频图像效果。</w:t>
      </w:r>
    </w:p>
    <w:p w14:paraId="75B7DCF8">
      <w:pPr>
        <w:ind w:firstLine="480"/>
        <w:rPr>
          <w:rFonts w:hint="eastAsia"/>
        </w:rPr>
      </w:pPr>
      <w:r>
        <w:rPr>
          <w:rFonts w:hint="eastAsia"/>
        </w:rPr>
        <w:t>本次建设市级森林防火值班室视频会议系统，市森林防火调度值班室部署高清视频终端，利用在市林业部门机房已有部署的MCU，用于市、区/县值班室接入。利用在市级中心部署的视频会议系统及值班点名系统，包含多点控制单元、视频会商高清终端等设备。</w:t>
      </w:r>
    </w:p>
    <w:p w14:paraId="75B7DCF9">
      <w:pPr>
        <w:ind w:firstLine="480"/>
        <w:rPr>
          <w:rFonts w:hint="eastAsia"/>
        </w:rPr>
      </w:pPr>
      <w:r>
        <w:rPr>
          <w:rFonts w:hint="eastAsia"/>
        </w:rPr>
        <w:t>区县会议室部署地点：</w:t>
      </w:r>
    </w:p>
    <w:p w14:paraId="75B7DCFA">
      <w:pPr>
        <w:ind w:firstLine="480"/>
        <w:rPr>
          <w:rFonts w:hint="eastAsia"/>
        </w:rPr>
      </w:pPr>
      <w:r>
        <w:rPr>
          <w:rFonts w:hint="eastAsia"/>
        </w:rPr>
        <w:t>岳阳县、平江县、汨罗市、临湘市、芦头林场会场分别新增部署一套分体式高清视频终端，支持标准的H.239、BFCP会议双流，本次配置1080P30fps能力。配套全向麦克风、会议摄像机。会议摄像机支持12倍光学变焦。终端支持1080P50/60fps、1080p25/30、720P50/60fps视频输出。会议摄像机支持1080p25/30、720P50/60fps视频输出。</w:t>
      </w:r>
    </w:p>
    <w:p w14:paraId="75B7DCFB">
      <w:pPr>
        <w:pStyle w:val="6"/>
        <w:ind w:firstLine="480"/>
        <w:rPr>
          <w:rFonts w:hint="eastAsia"/>
        </w:rPr>
      </w:pPr>
      <w:r>
        <w:rPr>
          <w:rFonts w:hint="eastAsia"/>
        </w:rPr>
        <w:t>地面巡护建设</w:t>
      </w:r>
    </w:p>
    <w:p w14:paraId="75B7DCFC">
      <w:pPr>
        <w:ind w:firstLine="480"/>
        <w:rPr>
          <w:rFonts w:hint="eastAsia"/>
        </w:rPr>
      </w:pPr>
      <w:r>
        <w:t>配备141台数字对讲机，搭建“指挥中心-护林小队-一线队员”三级语音通信网络，确保指令传递“零延迟”。对讲机采用数字通信技术，单呼、组呼、全呼功能一应俱全，指挥中心可针对不同火情区域精准下达调度指令，如安排某小队重点排查祭祀用火、某小队监测湿地周边火源等；护林员之间可实时沟通巡护发现，如“东南方向500米处有烟雾，疑似起火点”，实现小队内部高效协同，避免因信息不对称导致的处置延误。在应急处置阶段，对讲机可与北斗手持终端、无人机监测系统联动，指挥中心通过对讲机同步火情位置、火势蔓延方向等信息，护林员结合北斗终端定位快速抵达现场，无人机实时回传火场态势，形成“空天地人”一体化作战格局，确保火情“打早、打小、打了”。此外，对讲机具备防水、防尘、抗摔特性，适应林区复杂环境，电池续航时间≥12小时，满足全天巡护需求。</w:t>
      </w:r>
    </w:p>
    <w:p w14:paraId="75B7DCFD">
      <w:pPr>
        <w:pStyle w:val="5"/>
      </w:pPr>
      <w:r>
        <w:rPr>
          <w:rFonts w:hint="eastAsia"/>
        </w:rPr>
        <w:t>监测调度子系统</w:t>
      </w:r>
    </w:p>
    <w:p w14:paraId="75B7DCFE">
      <w:pPr>
        <w:pStyle w:val="6"/>
        <w:ind w:firstLine="480"/>
        <w:rPr>
          <w:rFonts w:hint="eastAsia"/>
        </w:rPr>
      </w:pPr>
      <w:r>
        <w:rPr>
          <w:rFonts w:hint="eastAsia"/>
          <w:lang w:val="en-US"/>
        </w:rPr>
        <w:t>概述</w:t>
      </w:r>
    </w:p>
    <w:p w14:paraId="75B7DCFF">
      <w:pPr>
        <w:ind w:firstLine="480"/>
        <w:rPr>
          <w:rFonts w:hint="eastAsia"/>
        </w:rPr>
      </w:pPr>
      <w:r>
        <w:rPr>
          <w:rFonts w:hint="eastAsia"/>
        </w:rPr>
        <w:t>项目配备存储服务器1台、市局二楼LED全彩显示屏10.04平方米、市局五楼LED全彩显示屏10.04平方米、林科所会议室LED全彩显示屏3.</w:t>
      </w:r>
      <w:r>
        <w:rPr>
          <w:rFonts w:hint="eastAsia"/>
          <w:lang w:val="en-US"/>
        </w:rPr>
        <w:t>9</w:t>
      </w:r>
      <w:r>
        <w:rPr>
          <w:rFonts w:hint="eastAsia"/>
        </w:rPr>
        <w:t>平方米、综合调度系统软件1套、云多点控制单元(MCU）1台。用于加强项目区森林防火监测调度能力。</w:t>
      </w:r>
    </w:p>
    <w:p w14:paraId="75B7DD00">
      <w:pPr>
        <w:ind w:firstLine="480"/>
        <w:rPr>
          <w:rFonts w:hint="eastAsia"/>
        </w:rPr>
      </w:pPr>
      <w:r>
        <w:rPr>
          <w:rFonts w:hint="eastAsia"/>
        </w:rPr>
        <w:t>基于前端26台云台摄像机前端回传视频图像，配备1台存储服务器，用于视频图像存储。</w:t>
      </w:r>
    </w:p>
    <w:p w14:paraId="75B7DD01">
      <w:pPr>
        <w:ind w:firstLine="480"/>
        <w:rPr>
          <w:rFonts w:hint="eastAsia"/>
        </w:rPr>
      </w:pPr>
      <w:r>
        <w:rPr>
          <w:rFonts w:hint="eastAsia"/>
        </w:rPr>
        <w:t>市局二楼LED全彩显示屏10.04平方米、市局五楼LED全彩显示屏10.04平方米，林科所会议室LED全彩显示屏3.</w:t>
      </w:r>
      <w:r>
        <w:rPr>
          <w:rFonts w:hint="eastAsia"/>
          <w:lang w:val="en-US"/>
        </w:rPr>
        <w:t>9</w:t>
      </w:r>
      <w:r>
        <w:rPr>
          <w:rFonts w:hint="eastAsia"/>
        </w:rPr>
        <w:t>平方米用于指挥调度。</w:t>
      </w:r>
    </w:p>
    <w:p w14:paraId="75B7DD02">
      <w:pPr>
        <w:ind w:firstLine="480"/>
        <w:rPr>
          <w:rFonts w:hint="eastAsia"/>
        </w:rPr>
      </w:pPr>
      <w:r>
        <w:rPr>
          <w:rFonts w:hint="eastAsia"/>
        </w:rPr>
        <w:t>1台云多点控制单元(MCU）提供画面合成、智能混音等多方视频会议服务。</w:t>
      </w:r>
    </w:p>
    <w:p w14:paraId="75B7DD03">
      <w:pPr>
        <w:pStyle w:val="6"/>
        <w:ind w:firstLine="480"/>
        <w:rPr>
          <w:rFonts w:hint="eastAsia"/>
        </w:rPr>
      </w:pPr>
      <w:r>
        <w:rPr>
          <w:rFonts w:hint="eastAsia"/>
        </w:rPr>
        <w:t>存储设计</w:t>
      </w:r>
    </w:p>
    <w:p w14:paraId="75B7DD04">
      <w:pPr>
        <w:ind w:firstLine="480"/>
        <w:rPr>
          <w:rFonts w:hint="eastAsia"/>
          <w:lang w:val="en-US"/>
        </w:rPr>
      </w:pPr>
      <w:r>
        <w:rPr>
          <w:rFonts w:hint="eastAsia"/>
        </w:rPr>
        <w:t>一、</w:t>
      </w:r>
      <w:r>
        <w:rPr>
          <w:rFonts w:hint="eastAsia"/>
          <w:lang w:val="en-US"/>
        </w:rPr>
        <w:t>概述</w:t>
      </w:r>
    </w:p>
    <w:p w14:paraId="75B7DD05">
      <w:pPr>
        <w:ind w:firstLine="480"/>
        <w:rPr>
          <w:rFonts w:hint="eastAsia"/>
        </w:rPr>
      </w:pPr>
      <w:r>
        <w:rPr>
          <w:rFonts w:hint="eastAsia"/>
        </w:rPr>
        <w:t>市林业局核心机房部署一台存储服务器。</w:t>
      </w:r>
    </w:p>
    <w:p w14:paraId="75B7DD06">
      <w:pPr>
        <w:numPr>
          <w:ilvl w:val="0"/>
          <w:numId w:val="14"/>
        </w:numPr>
        <w:ind w:firstLine="480"/>
        <w:rPr>
          <w:rFonts w:hint="eastAsia"/>
          <w:lang w:val="en-US"/>
        </w:rPr>
      </w:pPr>
      <w:r>
        <w:rPr>
          <w:rFonts w:hint="eastAsia"/>
        </w:rPr>
        <w:t>存储资源</w:t>
      </w:r>
      <w:r>
        <w:rPr>
          <w:rFonts w:hint="eastAsia"/>
          <w:lang w:val="en-US"/>
        </w:rPr>
        <w:t>设计</w:t>
      </w:r>
    </w:p>
    <w:p w14:paraId="75B7DD07">
      <w:pPr>
        <w:ind w:firstLine="480"/>
        <w:rPr>
          <w:rFonts w:hint="eastAsia"/>
          <w:b/>
          <w:bCs/>
          <w:lang w:val="en-US"/>
        </w:rPr>
      </w:pPr>
      <w:r>
        <w:rPr>
          <w:rFonts w:hint="eastAsia"/>
          <w:lang w:val="en-US"/>
        </w:rPr>
        <w:t xml:space="preserve">详见 </w:t>
      </w:r>
      <w:r>
        <w:rPr>
          <w:rFonts w:hint="eastAsia"/>
          <w:b/>
          <w:bCs/>
          <w:lang w:val="en-US"/>
        </w:rPr>
        <w:t>4.3 信息量传输量和存储量分析与预测</w:t>
      </w:r>
    </w:p>
    <w:p w14:paraId="75B7DD08">
      <w:pPr>
        <w:ind w:firstLine="480"/>
        <w:rPr>
          <w:rFonts w:hint="eastAsia"/>
        </w:rPr>
      </w:pPr>
      <w:r>
        <w:rPr>
          <w:rFonts w:hint="eastAsia"/>
          <w:lang w:val="en-US"/>
        </w:rPr>
        <w:t>三</w:t>
      </w:r>
      <w:r>
        <w:rPr>
          <w:rFonts w:hint="eastAsia"/>
        </w:rPr>
        <w:t>、存储方式</w:t>
      </w:r>
    </w:p>
    <w:p w14:paraId="75B7DD09">
      <w:pPr>
        <w:ind w:firstLine="480"/>
        <w:rPr>
          <w:rFonts w:hint="eastAsia"/>
        </w:rPr>
      </w:pPr>
      <w:r>
        <w:rPr>
          <w:rFonts w:hint="eastAsia"/>
        </w:rPr>
        <w:t>1、新建视频监控存储方式采用CVR存储方式。</w:t>
      </w:r>
    </w:p>
    <w:p w14:paraId="75B7DD0A">
      <w:pPr>
        <w:ind w:firstLine="480"/>
        <w:rPr>
          <w:rFonts w:hint="eastAsia"/>
        </w:rPr>
      </w:pPr>
      <w:r>
        <w:rPr>
          <w:rFonts w:hint="eastAsia"/>
        </w:rPr>
        <w:t>直存CVR存储是在传统安防IPSAN集中存储设备的基础上，融合更多的如负载均衡、冗余热备机制，并整合服务器硬件之后的升级设备，具有高密度、高并发性能、重应用的特点，适合追求高效能、高扩展能力并注重节约成本的场景。</w:t>
      </w:r>
    </w:p>
    <w:p w14:paraId="75B7DD0B">
      <w:pPr>
        <w:ind w:firstLine="480"/>
        <w:rPr>
          <w:rFonts w:hint="eastAsia"/>
        </w:rPr>
      </w:pPr>
      <w:r>
        <w:rPr>
          <w:rFonts w:hint="eastAsia"/>
        </w:rPr>
        <w:t>直存CVR设备，一般支持200~500路的视频接入，内置流媒体转发功能，采用高效能服务器架构/控制器架构来增强单台设备稳定性，此外也具备丰富的磁盘管理、录像计划配置、数据资源保护、报警信息管理等功能，适用于较大规模的视频集中存储。</w:t>
      </w:r>
    </w:p>
    <w:p w14:paraId="75B7DD0C">
      <w:pPr>
        <w:ind w:firstLine="480"/>
        <w:rPr>
          <w:rFonts w:hint="eastAsia"/>
        </w:rPr>
      </w:pPr>
      <w:r>
        <w:rPr>
          <w:rFonts w:hint="eastAsia"/>
        </w:rPr>
        <w:t>2、无人机、存量视频监控、报警事件存储采用云平台对象存储方式。</w:t>
      </w:r>
    </w:p>
    <w:p w14:paraId="75B7DD0D">
      <w:pPr>
        <w:pStyle w:val="6"/>
        <w:ind w:firstLine="480"/>
        <w:rPr>
          <w:rFonts w:hint="eastAsia"/>
        </w:rPr>
      </w:pPr>
      <w:r>
        <w:rPr>
          <w:rFonts w:hint="eastAsia"/>
        </w:rPr>
        <w:t>调度指挥中心建设</w:t>
      </w:r>
    </w:p>
    <w:p w14:paraId="75B7DD0E">
      <w:pPr>
        <w:ind w:firstLine="480"/>
        <w:rPr>
          <w:rFonts w:hint="eastAsia"/>
        </w:rPr>
      </w:pPr>
      <w:r>
        <w:rPr>
          <w:rFonts w:hint="eastAsia"/>
        </w:rPr>
        <w:t>一、系统部署</w:t>
      </w:r>
    </w:p>
    <w:p w14:paraId="75B7DD0F">
      <w:pPr>
        <w:ind w:firstLine="480"/>
        <w:rPr>
          <w:rFonts w:hint="eastAsia"/>
        </w:rPr>
      </w:pPr>
      <w:r>
        <w:rPr>
          <w:rFonts w:hint="eastAsia"/>
        </w:rPr>
        <w:t>市局机房建设：</w:t>
      </w:r>
    </w:p>
    <w:p w14:paraId="75B7DD10">
      <w:pPr>
        <w:ind w:firstLine="480"/>
        <w:rPr>
          <w:rFonts w:hint="eastAsia"/>
        </w:rPr>
      </w:pPr>
      <w:r>
        <w:rPr>
          <w:rFonts w:hint="eastAsia"/>
        </w:rPr>
        <w:t>市局的核心机房部署1套多点控制单元（MCU），采用嵌入式设计；现配置可满足15个林业单位节点接入，全部按照H.265协议下的1080P30fps端口配置，具备良好的扩展性，支持4CIF、720P、1080P等分辨率，支持H.239\BFCP双流。</w:t>
      </w:r>
    </w:p>
    <w:p w14:paraId="75B7DD11">
      <w:pPr>
        <w:ind w:firstLine="480"/>
        <w:rPr>
          <w:rFonts w:hint="eastAsia"/>
        </w:rPr>
      </w:pPr>
      <w:r>
        <w:rPr>
          <w:rFonts w:hint="eastAsia"/>
        </w:rPr>
        <w:t>调度中心专业显示屏建设：</w:t>
      </w:r>
    </w:p>
    <w:p w14:paraId="75B7DD12">
      <w:pPr>
        <w:ind w:firstLine="480"/>
        <w:rPr>
          <w:rFonts w:hint="eastAsia"/>
        </w:rPr>
      </w:pPr>
      <w:r>
        <w:rPr>
          <w:rFonts w:hint="eastAsia"/>
        </w:rPr>
        <w:t>市局二楼调度会议室和五楼防火值班室房间大小布局，房间大小如图所示：</w:t>
      </w:r>
    </w:p>
    <w:p w14:paraId="75B7DD13">
      <w:pPr>
        <w:spacing w:line="240" w:lineRule="auto"/>
        <w:ind w:firstLine="0" w:firstLineChars="0"/>
        <w:rPr>
          <w:rFonts w:hint="eastAsia"/>
        </w:rPr>
      </w:pPr>
      <w:r>
        <w:drawing>
          <wp:inline distT="0" distB="0" distL="114300" distR="114300">
            <wp:extent cx="5274310" cy="3036570"/>
            <wp:effectExtent l="0" t="0" r="8890" b="1143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33"/>
                    <a:stretch>
                      <a:fillRect/>
                    </a:stretch>
                  </pic:blipFill>
                  <pic:spPr>
                    <a:xfrm>
                      <a:off x="0" y="0"/>
                      <a:ext cx="5274310" cy="3036600"/>
                    </a:xfrm>
                    <a:prstGeom prst="rect">
                      <a:avLst/>
                    </a:prstGeom>
                    <a:noFill/>
                    <a:ln>
                      <a:noFill/>
                    </a:ln>
                  </pic:spPr>
                </pic:pic>
              </a:graphicData>
            </a:graphic>
          </wp:inline>
        </w:drawing>
      </w:r>
    </w:p>
    <w:p w14:paraId="75B7DD14">
      <w:pPr>
        <w:ind w:firstLine="480"/>
        <w:jc w:val="center"/>
        <w:rPr>
          <w:rFonts w:hint="eastAsia"/>
        </w:rPr>
      </w:pPr>
      <w:r>
        <w:rPr>
          <w:rFonts w:hint="eastAsia"/>
        </w:rPr>
        <w:t>二楼调度会议室布局图</w:t>
      </w:r>
    </w:p>
    <w:p w14:paraId="75B7DD15">
      <w:pPr>
        <w:spacing w:line="240" w:lineRule="auto"/>
        <w:ind w:firstLine="0" w:firstLineChars="0"/>
        <w:rPr>
          <w:rFonts w:hint="eastAsia"/>
        </w:rPr>
      </w:pPr>
      <w:r>
        <w:drawing>
          <wp:inline distT="0" distB="0" distL="114300" distR="114300">
            <wp:extent cx="5274310" cy="3248025"/>
            <wp:effectExtent l="0" t="0" r="8890" b="3175"/>
            <wp:docPr id="3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4"/>
                    <pic:cNvPicPr>
                      <a:picLocks noChangeAspect="1"/>
                    </pic:cNvPicPr>
                  </pic:nvPicPr>
                  <pic:blipFill>
                    <a:blip r:embed="rId34"/>
                    <a:stretch>
                      <a:fillRect/>
                    </a:stretch>
                  </pic:blipFill>
                  <pic:spPr>
                    <a:xfrm>
                      <a:off x="0" y="0"/>
                      <a:ext cx="5274310" cy="3248462"/>
                    </a:xfrm>
                    <a:prstGeom prst="rect">
                      <a:avLst/>
                    </a:prstGeom>
                    <a:noFill/>
                    <a:ln>
                      <a:noFill/>
                    </a:ln>
                  </pic:spPr>
                </pic:pic>
              </a:graphicData>
            </a:graphic>
          </wp:inline>
        </w:drawing>
      </w:r>
    </w:p>
    <w:p w14:paraId="75B7DD16">
      <w:pPr>
        <w:ind w:firstLine="480"/>
        <w:jc w:val="center"/>
        <w:rPr>
          <w:rFonts w:hint="eastAsia"/>
        </w:rPr>
      </w:pPr>
      <w:r>
        <w:rPr>
          <w:rFonts w:hint="eastAsia"/>
        </w:rPr>
        <w:t>五楼防火值班室布局图</w:t>
      </w:r>
    </w:p>
    <w:p w14:paraId="75B7DD17">
      <w:pPr>
        <w:ind w:firstLine="480"/>
        <w:rPr>
          <w:rFonts w:hint="eastAsia"/>
        </w:rPr>
      </w:pPr>
      <w:r>
        <w:rPr>
          <w:rFonts w:hint="eastAsia"/>
        </w:rPr>
        <w:t>根据房间大小布局，市局二楼调度会议室采用LED全彩显示屏10.04平方米、市局五楼值班室采用LED全彩显示屏10.04平方米、林科所会议室采用LED全彩显示屏3.</w:t>
      </w:r>
      <w:r>
        <w:rPr>
          <w:rFonts w:hint="eastAsia"/>
          <w:lang w:val="en-US"/>
        </w:rPr>
        <w:t>9</w:t>
      </w:r>
      <w:r>
        <w:rPr>
          <w:rFonts w:hint="eastAsia"/>
        </w:rPr>
        <w:t>平方米。</w:t>
      </w:r>
    </w:p>
    <w:p w14:paraId="75B7DD18">
      <w:pPr>
        <w:ind w:firstLine="480"/>
        <w:rPr>
          <w:rFonts w:hint="eastAsia"/>
        </w:rPr>
      </w:pPr>
      <w:r>
        <w:rPr>
          <w:rFonts w:hint="eastAsia"/>
        </w:rPr>
        <w:t>二、网络和带宽要求</w:t>
      </w:r>
    </w:p>
    <w:p w14:paraId="75B7DD19">
      <w:pPr>
        <w:ind w:firstLine="480"/>
        <w:rPr>
          <w:rFonts w:hint="eastAsia"/>
        </w:rPr>
      </w:pPr>
      <w:r>
        <w:rPr>
          <w:rFonts w:hint="eastAsia"/>
        </w:rPr>
        <w:t>视频会议系统采用IP网络连接，既可实现多种应用网络共享，也可以使系统具有更好的灵活性和可管理性。因为现阶段基于IP网络的视频会议系统已经具备非常出色的高清效果。</w:t>
      </w:r>
    </w:p>
    <w:p w14:paraId="75B7DD1A">
      <w:pPr>
        <w:ind w:firstLine="480"/>
        <w:rPr>
          <w:rFonts w:hint="eastAsia"/>
        </w:rPr>
      </w:pPr>
      <w:r>
        <w:rPr>
          <w:rFonts w:hint="eastAsia"/>
        </w:rPr>
        <w:t>（一）网络的带宽需求</w:t>
      </w:r>
    </w:p>
    <w:p w14:paraId="75B7DD1B">
      <w:pPr>
        <w:ind w:firstLine="480"/>
        <w:rPr>
          <w:rFonts w:hint="eastAsia"/>
        </w:rPr>
      </w:pPr>
      <w:r>
        <w:rPr>
          <w:rFonts w:hint="eastAsia"/>
        </w:rPr>
        <w:t>视频会议对网络的带宽需求为：视频带宽+IP包头开销</w:t>
      </w:r>
    </w:p>
    <w:p w14:paraId="75B7DD1C">
      <w:pPr>
        <w:ind w:firstLine="480"/>
        <w:rPr>
          <w:rFonts w:hint="eastAsia"/>
        </w:rPr>
      </w:pPr>
      <w:r>
        <w:rPr>
          <w:rFonts w:hint="eastAsia"/>
        </w:rPr>
        <w:t>常用的计算方法为：视频带宽×1.2为网络带宽的最低需求</w:t>
      </w:r>
    </w:p>
    <w:p w14:paraId="75B7DD1D">
      <w:pPr>
        <w:ind w:firstLine="480"/>
        <w:rPr>
          <w:rFonts w:hint="eastAsia"/>
        </w:rPr>
      </w:pPr>
      <w:r>
        <w:rPr>
          <w:rFonts w:hint="eastAsia"/>
        </w:rPr>
        <w:t>（二）端到端的时延</w:t>
      </w:r>
    </w:p>
    <w:p w14:paraId="75B7DD1E">
      <w:pPr>
        <w:ind w:firstLine="480"/>
        <w:rPr>
          <w:rFonts w:hint="eastAsia"/>
        </w:rPr>
      </w:pPr>
      <w:r>
        <w:rPr>
          <w:rFonts w:hint="eastAsia"/>
        </w:rPr>
        <w:t>视频会议的通用时延建议为小于200ms</w:t>
      </w:r>
    </w:p>
    <w:p w14:paraId="75B7DD1F">
      <w:pPr>
        <w:ind w:firstLine="480"/>
        <w:rPr>
          <w:rFonts w:hint="eastAsia"/>
        </w:rPr>
      </w:pPr>
      <w:r>
        <w:rPr>
          <w:rFonts w:hint="eastAsia"/>
        </w:rPr>
        <w:t>（三）时延抖动</w:t>
      </w:r>
    </w:p>
    <w:p w14:paraId="75B7DD20">
      <w:pPr>
        <w:ind w:firstLine="480"/>
        <w:rPr>
          <w:rFonts w:hint="eastAsia"/>
        </w:rPr>
      </w:pPr>
      <w:r>
        <w:rPr>
          <w:rFonts w:hint="eastAsia"/>
        </w:rPr>
        <w:t>由于音频/视频的传输为实时的交互，因此网络的时延抖动更为至关重要，我们的建议范围为通用时延小于50ms。</w:t>
      </w:r>
    </w:p>
    <w:p w14:paraId="75B7DD21">
      <w:pPr>
        <w:ind w:firstLine="480"/>
        <w:rPr>
          <w:rFonts w:hint="eastAsia"/>
        </w:rPr>
      </w:pPr>
      <w:r>
        <w:rPr>
          <w:rFonts w:hint="eastAsia"/>
        </w:rPr>
        <w:t>（四）丢包率</w:t>
      </w:r>
    </w:p>
    <w:p w14:paraId="75B7DD22">
      <w:pPr>
        <w:ind w:firstLine="480"/>
        <w:rPr>
          <w:rFonts w:hint="eastAsia"/>
        </w:rPr>
      </w:pPr>
      <w:r>
        <w:rPr>
          <w:rFonts w:hint="eastAsia"/>
        </w:rPr>
        <w:t>网络上的丢包率</w:t>
      </w:r>
      <w:r>
        <w:rPr>
          <w:rFonts w:hint="eastAsia" w:ascii="仿宋_GB2312" w:hAnsi="仿宋_GB2312" w:cs="仿宋_GB2312"/>
        </w:rPr>
        <w:t>不应该高于</w:t>
      </w:r>
      <w:r>
        <w:rPr>
          <w:rFonts w:hint="eastAsia"/>
        </w:rPr>
        <w:t>3%，在超过3%以后要求系统必须自身具备丢包恢复机制，保障视音频的正常。</w:t>
      </w:r>
    </w:p>
    <w:p w14:paraId="75B7DD25">
      <w:pPr>
        <w:ind w:firstLine="480"/>
        <w:rPr>
          <w:rFonts w:hint="eastAsia"/>
        </w:rPr>
      </w:pPr>
      <w:r>
        <w:rPr>
          <w:rFonts w:hint="eastAsia"/>
        </w:rPr>
        <w:t>（</w:t>
      </w:r>
      <w:r>
        <w:rPr>
          <w:rFonts w:hint="eastAsia"/>
          <w:lang w:val="en-US" w:eastAsia="zh-CN"/>
        </w:rPr>
        <w:t>五</w:t>
      </w:r>
      <w:r>
        <w:rPr>
          <w:rFonts w:hint="eastAsia"/>
        </w:rPr>
        <w:t>）网络说明</w:t>
      </w:r>
    </w:p>
    <w:p w14:paraId="75B7DD26">
      <w:pPr>
        <w:ind w:firstLine="480"/>
        <w:rPr>
          <w:rFonts w:hint="eastAsia"/>
        </w:rPr>
      </w:pPr>
      <w:r>
        <w:rPr>
          <w:rFonts w:hint="eastAsia"/>
        </w:rPr>
        <w:t>视频会议涉及两种类型，行政会议模式与值班室模式，在单独使用值班室视频终端时，采用的是1080P的高清图像，涉及行政会议时，终端集体使用720P的图像效果。</w:t>
      </w:r>
    </w:p>
    <w:p w14:paraId="75B7DD27">
      <w:pPr>
        <w:ind w:firstLine="480"/>
        <w:rPr>
          <w:rFonts w:hint="eastAsia"/>
        </w:rPr>
      </w:pPr>
      <w:r>
        <w:rPr>
          <w:rFonts w:hint="eastAsia"/>
        </w:rPr>
        <w:t>针对网络部分，设置两种方式，一种为利用一条专线，利用交换路由方式实现两网融合的形式，接入MCU时，两个网络都能接入，另外一种为设置2种不同的网络，例如行政会议采用电子政务外网，另选用一条其他运营商专线，用于防火值班室，此种方式采用UCM双网口的能力。</w:t>
      </w:r>
    </w:p>
    <w:p w14:paraId="75B7DD28">
      <w:pPr>
        <w:pStyle w:val="6"/>
        <w:ind w:firstLine="480"/>
        <w:rPr>
          <w:rFonts w:hint="eastAsia"/>
        </w:rPr>
      </w:pPr>
      <w:r>
        <w:rPr>
          <w:rFonts w:hint="eastAsia"/>
        </w:rPr>
        <w:t>森林防火调度中心综合调度系统</w:t>
      </w:r>
    </w:p>
    <w:p w14:paraId="75B7DD29">
      <w:pPr>
        <w:ind w:firstLine="480"/>
        <w:rPr>
          <w:rFonts w:hint="eastAsia"/>
        </w:rPr>
      </w:pPr>
      <w:r>
        <w:rPr>
          <w:rFonts w:hint="eastAsia"/>
        </w:rPr>
        <w:t>一、系统部署</w:t>
      </w:r>
    </w:p>
    <w:p w14:paraId="75B7DD2A">
      <w:pPr>
        <w:ind w:firstLine="480"/>
        <w:rPr>
          <w:rFonts w:hint="eastAsia"/>
        </w:rPr>
      </w:pPr>
      <w:r>
        <w:rPr>
          <w:rFonts w:hint="eastAsia"/>
        </w:rPr>
        <w:t>森林防火调度中心综合调度系统部署：</w:t>
      </w:r>
    </w:p>
    <w:p w14:paraId="75B7DD2B">
      <w:pPr>
        <w:ind w:firstLine="480"/>
        <w:rPr>
          <w:rFonts w:hint="eastAsia"/>
        </w:rPr>
      </w:pPr>
      <w:r>
        <w:rPr>
          <w:rFonts w:hint="eastAsia"/>
        </w:rPr>
        <w:t>采用云资源租赁方式部署，以减少投资，降低成本。</w:t>
      </w:r>
    </w:p>
    <w:p w14:paraId="75B7DD2C">
      <w:pPr>
        <w:ind w:firstLine="480"/>
        <w:rPr>
          <w:rFonts w:hint="eastAsia"/>
        </w:rPr>
      </w:pPr>
      <w:r>
        <w:rPr>
          <w:rFonts w:hint="eastAsia"/>
        </w:rPr>
        <w:t>二、森林防火调度中心综合调度</w:t>
      </w:r>
      <w:r>
        <w:rPr>
          <w:rFonts w:hint="eastAsia"/>
          <w:lang w:val="en-US"/>
        </w:rPr>
        <w:t>系统</w:t>
      </w:r>
      <w:r>
        <w:rPr>
          <w:rFonts w:hint="eastAsia"/>
        </w:rPr>
        <w:t>平台架构图</w:t>
      </w:r>
    </w:p>
    <w:p w14:paraId="75B7DD2D">
      <w:pPr>
        <w:spacing w:line="240" w:lineRule="auto"/>
        <w:ind w:firstLine="0" w:firstLineChars="0"/>
        <w:rPr>
          <w:rFonts w:hint="eastAsia"/>
        </w:rPr>
      </w:pPr>
      <w:r>
        <w:rPr>
          <w:rFonts w:hint="eastAsia" w:ascii="方正仿宋_GB2312" w:hAnsi="方正仿宋_GB2312" w:eastAsia="方正仿宋_GB2312" w:cs="方正仿宋_GB2312"/>
          <w:sz w:val="28"/>
          <w:szCs w:val="28"/>
        </w:rPr>
        <w:drawing>
          <wp:inline distT="0" distB="0" distL="114300" distR="114300">
            <wp:extent cx="5274310" cy="2823210"/>
            <wp:effectExtent l="0" t="0" r="8890" b="8890"/>
            <wp:docPr id="33" name="图片 33" descr="a5ce0f71de691bf527ea5a7726063a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a5ce0f71de691bf527ea5a7726063aac"/>
                    <pic:cNvPicPr>
                      <a:picLocks noChangeAspect="1"/>
                    </pic:cNvPicPr>
                  </pic:nvPicPr>
                  <pic:blipFill>
                    <a:blip r:embed="rId35"/>
                    <a:stretch>
                      <a:fillRect/>
                    </a:stretch>
                  </pic:blipFill>
                  <pic:spPr>
                    <a:xfrm>
                      <a:off x="0" y="0"/>
                      <a:ext cx="5274310" cy="2823838"/>
                    </a:xfrm>
                    <a:prstGeom prst="rect">
                      <a:avLst/>
                    </a:prstGeom>
                  </pic:spPr>
                </pic:pic>
              </a:graphicData>
            </a:graphic>
          </wp:inline>
        </w:drawing>
      </w:r>
    </w:p>
    <w:p w14:paraId="75B7DD2E">
      <w:pPr>
        <w:ind w:firstLine="480"/>
        <w:rPr>
          <w:rFonts w:hint="eastAsia"/>
        </w:rPr>
      </w:pPr>
      <w:r>
        <w:rPr>
          <w:rFonts w:hint="eastAsia"/>
        </w:rPr>
        <w:t>本期建设的森林防火调度中心综合调度系统平台，将作为全市“智慧防火”的核心大脑，实现新建与利旧资源的全面汇聚与智能化赋能。平台将新建的无人机巡护、视频监控等数据流与利旧的资源实现整体汇集。在此基础上，通过部署专属的算力集群与烟火识别等AI算法模型，平台能够高效获取并自动筛选多源预警信息，并利用无人机快速复核、多角度视频联动等手段，对AI初筛的烟火事件进行自动化验证，极大提升预警准确率与响应速度。最终，平台通过态势一张图、智能辅助决策等功能，实现从“被动告警”到“主动预警-智能研判-协同指挥”的全流程智能化闭环应用，全面提升防火指挥的整体效能。</w:t>
      </w:r>
    </w:p>
    <w:p w14:paraId="75B7DD2F">
      <w:pPr>
        <w:ind w:firstLine="480"/>
        <w:rPr>
          <w:rFonts w:hint="eastAsia"/>
        </w:rPr>
      </w:pPr>
      <w:r>
        <w:rPr>
          <w:rFonts w:hint="eastAsia"/>
        </w:rPr>
        <w:t>三、视频监控</w:t>
      </w:r>
    </w:p>
    <w:p w14:paraId="75B7DD30">
      <w:pPr>
        <w:ind w:firstLine="480"/>
        <w:rPr>
          <w:rFonts w:hint="eastAsia"/>
        </w:rPr>
      </w:pPr>
      <w:r>
        <w:rPr>
          <w:rFonts w:hint="eastAsia"/>
        </w:rPr>
        <w:t>视频监控实现实时视频、录像回放和录像设置功能。</w:t>
      </w:r>
    </w:p>
    <w:p w14:paraId="75B7DD31">
      <w:pPr>
        <w:ind w:firstLine="480"/>
        <w:rPr>
          <w:rFonts w:hint="eastAsia"/>
        </w:rPr>
      </w:pPr>
      <w:r>
        <w:rPr>
          <w:rFonts w:hint="eastAsia"/>
        </w:rPr>
        <w:t>实时视频能够对摄像头的实时视频进行播放预览，具体功能包括：</w:t>
      </w:r>
    </w:p>
    <w:p w14:paraId="75B7DD32">
      <w:pPr>
        <w:ind w:firstLine="480"/>
        <w:rPr>
          <w:rFonts w:hint="eastAsia"/>
        </w:rPr>
      </w:pPr>
      <w:r>
        <w:rPr>
          <w:rFonts w:hint="eastAsia"/>
        </w:rPr>
        <w:t>具有视频播放窗口布局切换，包含1、4、6、8、9、13、15、16、25等标准布局视频窗口播放，以及4、6、7、9、12、15、16等宽屏布局视频窗口播放。</w:t>
      </w:r>
    </w:p>
    <w:p w14:paraId="75B7DD33">
      <w:pPr>
        <w:ind w:firstLine="480"/>
        <w:rPr>
          <w:rFonts w:hint="eastAsia"/>
        </w:rPr>
      </w:pPr>
      <w:r>
        <w:rPr>
          <w:rFonts w:hint="eastAsia"/>
        </w:rPr>
        <w:t>支持对摄像头进行云台控制，可以进行上下左右等8个方向控制、可以进行步长设置，支持焦距放大缩小。</w:t>
      </w:r>
    </w:p>
    <w:p w14:paraId="75B7DD34">
      <w:pPr>
        <w:ind w:firstLine="480"/>
        <w:rPr>
          <w:rFonts w:hint="eastAsia"/>
        </w:rPr>
      </w:pPr>
      <w:r>
        <w:rPr>
          <w:rFonts w:hint="eastAsia"/>
        </w:rPr>
        <w:t>支持设置预置位，将摄像头转动到指定预置位、看守位。</w:t>
      </w:r>
    </w:p>
    <w:p w14:paraId="75B7DD35">
      <w:pPr>
        <w:ind w:firstLine="480"/>
        <w:rPr>
          <w:rFonts w:hint="eastAsia"/>
        </w:rPr>
      </w:pPr>
      <w:r>
        <w:rPr>
          <w:rFonts w:hint="eastAsia"/>
        </w:rPr>
        <w:t>支持设置巡航计划，在巡航计划中添加预置位，设置巡航速度和巡航停留时间，控制摄像头启动巡航计划或停止巡航计划。</w:t>
      </w:r>
    </w:p>
    <w:p w14:paraId="75B7DD36">
      <w:pPr>
        <w:ind w:firstLine="480"/>
        <w:rPr>
          <w:rFonts w:hint="eastAsia"/>
        </w:rPr>
      </w:pPr>
      <w:r>
        <w:rPr>
          <w:rFonts w:hint="eastAsia"/>
        </w:rPr>
        <w:t>支持语音喊话、3D放大、图片抓拍、视频抓拍、开启/关闭音频等功能。</w:t>
      </w:r>
    </w:p>
    <w:p w14:paraId="75B7DD37">
      <w:pPr>
        <w:ind w:firstLine="480"/>
        <w:rPr>
          <w:rFonts w:hint="eastAsia"/>
        </w:rPr>
      </w:pPr>
      <w:r>
        <w:rPr>
          <w:rFonts w:hint="eastAsia"/>
        </w:rPr>
        <w:t>支持视频手动告警，在实时监控过程中，在实时视频画面中发现警情，可以进行一键告警。</w:t>
      </w:r>
    </w:p>
    <w:p w14:paraId="75B7DD38">
      <w:pPr>
        <w:ind w:firstLine="480"/>
        <w:rPr>
          <w:rFonts w:hint="eastAsia"/>
        </w:rPr>
      </w:pPr>
      <w:r>
        <w:rPr>
          <w:rFonts w:hint="eastAsia"/>
        </w:rPr>
        <w:t>录像回放支持按照摄像头通道、时间查询录像。录像回放支持4画面分隔模式及全屏显示；支持单帧回放、播放速度控制（1/4、1/2、1、2、4倍速）；录像回放支持拖动进度条或指定时间点来进行录像定位。支持选择时间段下载录像文件。</w:t>
      </w:r>
    </w:p>
    <w:p w14:paraId="75B7DD39">
      <w:pPr>
        <w:ind w:firstLine="480"/>
        <w:rPr>
          <w:rFonts w:hint="eastAsia"/>
        </w:rPr>
      </w:pPr>
      <w:r>
        <w:rPr>
          <w:rFonts w:hint="eastAsia"/>
        </w:rPr>
        <w:t>用户可根据需要对单路视频设置录像计划，可选择设置为定时录像或全天录像，可设置录像计划的开始时间和结束时间，选择录像存储天数，同时支持将录像计划复制到其他通道。</w:t>
      </w:r>
    </w:p>
    <w:p w14:paraId="75B7DD3A">
      <w:pPr>
        <w:ind w:firstLine="480"/>
        <w:rPr>
          <w:rFonts w:hint="eastAsia"/>
        </w:rPr>
      </w:pPr>
      <w:r>
        <w:rPr>
          <w:rFonts w:hint="eastAsia"/>
        </w:rPr>
        <w:t>四、监测预警</w:t>
      </w:r>
    </w:p>
    <w:p w14:paraId="75B7DD3B">
      <w:pPr>
        <w:ind w:firstLine="480"/>
        <w:rPr>
          <w:rFonts w:hint="eastAsia"/>
        </w:rPr>
      </w:pPr>
      <w:r>
        <w:rPr>
          <w:rFonts w:hint="eastAsia"/>
        </w:rPr>
        <w:t>平台综合利用“空天地人”各种监测手段，提高主动掌握火情能力。在“空”监测方面，充分发挥卫星监测低成本、广覆盖的特点，实现遥感卫星在定点时段的全域监测。在“天”监测方面，利用无人机进行飞行监测，实现重点时段的动态监测。在“地”监测方面，通过视频监控和AI算法实现7x24小时全天候监测，结合“人”的监测（人工巡查和高空瞭望）</w:t>
      </w:r>
      <w:r>
        <w:rPr>
          <w:rFonts w:hint="eastAsia" w:ascii="仿宋_GB2312" w:hAnsi="仿宋_GB2312" w:cs="仿宋_GB2312"/>
        </w:rPr>
        <w:t>实现精细化重点监测。</w:t>
      </w:r>
    </w:p>
    <w:p w14:paraId="75B7DD3C">
      <w:pPr>
        <w:ind w:firstLine="480"/>
        <w:rPr>
          <w:rFonts w:hint="eastAsia"/>
        </w:rPr>
      </w:pPr>
      <w:r>
        <w:rPr>
          <w:rFonts w:hint="eastAsia"/>
        </w:rPr>
        <w:t>平台可接入卫星遥感、无人机、视频监控和人工的监测预警数据进行集中展示和实时告警，并可根据告警来源、告警类型、时间、空间等多种方式对监测预警数据进行多维度展示和分析，平台围绕 “监测预警” 核心功能，整合卫星遥感、无人机、视频监控及人工巡查四大监测手段，实现多源数据全流程管理：支持卫星遥感数据接入与火险等级预警图生成，无人机巡检任务配置与 AI 火情识别，视频监控 AI 二次识别与手动告警，人工巡护任务管理与隐患信息上报；具备数据汇聚展示、多条件筛选分析、历史数据回溯、GIS 集中可视化等能力，形成 “空天地人” 一体化火情监测预警体系。</w:t>
      </w:r>
    </w:p>
    <w:p w14:paraId="75B7DD3D">
      <w:pPr>
        <w:ind w:firstLine="480"/>
        <w:rPr>
          <w:rFonts w:hint="eastAsia"/>
        </w:rPr>
      </w:pPr>
      <w:r>
        <w:rPr>
          <w:rFonts w:hint="eastAsia"/>
        </w:rPr>
        <w:t>五、火情接收</w:t>
      </w:r>
    </w:p>
    <w:p w14:paraId="75B7DD3E">
      <w:pPr>
        <w:ind w:firstLine="480"/>
        <w:rPr>
          <w:rFonts w:hint="eastAsia"/>
        </w:rPr>
      </w:pPr>
      <w:r>
        <w:rPr>
          <w:rFonts w:hint="eastAsia"/>
        </w:rPr>
        <w:t>（一）视频监控监测预警</w:t>
      </w:r>
    </w:p>
    <w:p w14:paraId="75B7DD3F">
      <w:pPr>
        <w:ind w:firstLine="480"/>
        <w:rPr>
          <w:rFonts w:hint="eastAsia"/>
        </w:rPr>
      </w:pPr>
      <w:r>
        <w:rPr>
          <w:rFonts w:hint="eastAsia"/>
        </w:rPr>
        <w:t>摄像头进行7x24小时全天候实时视频监控，摄像头前端算法识别到火情后，将火情信息推送到后端AI平台进行二次算法识别，提高火情识别准确率。</w:t>
      </w:r>
    </w:p>
    <w:p w14:paraId="75B7DD40">
      <w:pPr>
        <w:ind w:firstLine="480"/>
        <w:rPr>
          <w:rFonts w:hint="eastAsia"/>
        </w:rPr>
      </w:pPr>
      <w:r>
        <w:rPr>
          <w:rFonts w:hint="eastAsia"/>
        </w:rPr>
        <w:t>火情信息包括事件名称、事件类型、事发地点、经纬度、事件置信度、告警摄像头、告警图片、告警视频等。</w:t>
      </w:r>
    </w:p>
    <w:p w14:paraId="75B7DD41">
      <w:pPr>
        <w:ind w:firstLine="480"/>
        <w:rPr>
          <w:rFonts w:hint="eastAsia"/>
        </w:rPr>
      </w:pPr>
      <w:r>
        <w:rPr>
          <w:rFonts w:hint="eastAsia"/>
        </w:rPr>
        <w:t>（二）无人机监测预警</w:t>
      </w:r>
    </w:p>
    <w:p w14:paraId="75B7DD42">
      <w:pPr>
        <w:ind w:firstLine="480"/>
        <w:rPr>
          <w:rFonts w:hint="eastAsia"/>
        </w:rPr>
      </w:pPr>
      <w:r>
        <w:rPr>
          <w:rFonts w:hint="eastAsia"/>
        </w:rPr>
        <w:t>接入无人机平台，无人机挂载监控摄像头，无人机在飞行过程中挂载摄像头视频实时回传到中心，AI平台识别到火情后，立即将火情信息推送到平台。</w:t>
      </w:r>
    </w:p>
    <w:p w14:paraId="75B7DD43">
      <w:pPr>
        <w:ind w:firstLine="480"/>
        <w:rPr>
          <w:rFonts w:hint="eastAsia"/>
        </w:rPr>
      </w:pPr>
      <w:r>
        <w:rPr>
          <w:rFonts w:hint="eastAsia"/>
        </w:rPr>
        <w:t>（三）火情人工上报</w:t>
      </w:r>
    </w:p>
    <w:p w14:paraId="75B7DD44">
      <w:pPr>
        <w:ind w:firstLine="480"/>
        <w:rPr>
          <w:rFonts w:hint="eastAsia"/>
        </w:rPr>
      </w:pPr>
      <w:r>
        <w:rPr>
          <w:rFonts w:hint="eastAsia"/>
        </w:rPr>
        <w:t>护林员在日常巡查过程发现火情，可以通过PC端或APP上报火情，采集火点现场图片、视频、火点位置，填写事件名称、事件类型、火情描述等相关信息并提交。</w:t>
      </w:r>
    </w:p>
    <w:p w14:paraId="75B7DD45">
      <w:pPr>
        <w:ind w:firstLine="480"/>
        <w:rPr>
          <w:rFonts w:hint="eastAsia"/>
          <w:highlight w:val="none"/>
        </w:rPr>
      </w:pPr>
      <w:r>
        <w:rPr>
          <w:rFonts w:hint="eastAsia"/>
        </w:rPr>
        <w:t>（四）</w:t>
      </w:r>
      <w:r>
        <w:rPr>
          <w:rFonts w:hint="eastAsia"/>
          <w:highlight w:val="none"/>
        </w:rPr>
        <w:t>卫星遥感监测预警（需额外购买卫星遥感数据）</w:t>
      </w:r>
    </w:p>
    <w:p w14:paraId="75B7DD46">
      <w:pPr>
        <w:ind w:firstLine="480"/>
        <w:rPr>
          <w:rFonts w:hint="eastAsia"/>
          <w:highlight w:val="none"/>
        </w:rPr>
      </w:pPr>
      <w:r>
        <w:rPr>
          <w:rFonts w:hint="eastAsia"/>
          <w:highlight w:val="none"/>
        </w:rPr>
        <w:t>可通过卫星遥感监测提供火险预警、火情监测数据、灾后评估服务。</w:t>
      </w:r>
    </w:p>
    <w:tbl>
      <w:tblPr>
        <w:tblStyle w:val="38"/>
        <w:tblW w:w="5000" w:type="pct"/>
        <w:jc w:val="center"/>
        <w:tblLayout w:type="autofit"/>
        <w:tblCellMar>
          <w:top w:w="0" w:type="dxa"/>
          <w:left w:w="108" w:type="dxa"/>
          <w:bottom w:w="0" w:type="dxa"/>
          <w:right w:w="108" w:type="dxa"/>
        </w:tblCellMar>
      </w:tblPr>
      <w:tblGrid>
        <w:gridCol w:w="774"/>
        <w:gridCol w:w="1527"/>
        <w:gridCol w:w="6005"/>
      </w:tblGrid>
      <w:tr w14:paraId="75B7DD4A">
        <w:tblPrEx>
          <w:tblCellMar>
            <w:top w:w="0" w:type="dxa"/>
            <w:left w:w="108" w:type="dxa"/>
            <w:bottom w:w="0" w:type="dxa"/>
            <w:right w:w="108" w:type="dxa"/>
          </w:tblCellMar>
        </w:tblPrEx>
        <w:trPr>
          <w:tblHeader/>
          <w:jc w:val="center"/>
        </w:trPr>
        <w:tc>
          <w:tcPr>
            <w:tcW w:w="46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47">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应用阶段</w:t>
            </w:r>
          </w:p>
        </w:tc>
        <w:tc>
          <w:tcPr>
            <w:tcW w:w="9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48">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核心功能</w:t>
            </w:r>
          </w:p>
        </w:tc>
        <w:tc>
          <w:tcPr>
            <w:tcW w:w="361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49">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技术实现与典型方案</w:t>
            </w:r>
          </w:p>
        </w:tc>
      </w:tr>
      <w:tr w14:paraId="75B7DD4E">
        <w:tblPrEx>
          <w:tblCellMar>
            <w:top w:w="0" w:type="dxa"/>
            <w:left w:w="108" w:type="dxa"/>
            <w:bottom w:w="0" w:type="dxa"/>
            <w:right w:w="108" w:type="dxa"/>
          </w:tblCellMar>
        </w:tblPrEx>
        <w:trPr>
          <w:trHeight w:val="810" w:hRule="atLeast"/>
          <w:tblHeader/>
          <w:jc w:val="center"/>
        </w:trPr>
        <w:tc>
          <w:tcPr>
            <w:tcW w:w="466" w:type="pct"/>
            <w:vMerge w:val="restart"/>
            <w:tcBorders>
              <w:top w:val="single" w:color="000000" w:sz="4" w:space="0"/>
              <w:left w:val="single" w:color="000000" w:sz="4" w:space="0"/>
              <w:right w:val="single" w:color="000000" w:sz="4" w:space="0"/>
            </w:tcBorders>
            <w:shd w:val="clear" w:color="auto" w:fill="FFFFFF"/>
            <w:textDirection w:val="tbRlV"/>
            <w:vAlign w:val="center"/>
          </w:tcPr>
          <w:p w14:paraId="75B7DD4B">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火险预警</w:t>
            </w:r>
          </w:p>
        </w:tc>
        <w:tc>
          <w:tcPr>
            <w:tcW w:w="9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4C">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火险等级预报</w:t>
            </w:r>
          </w:p>
        </w:tc>
        <w:tc>
          <w:tcPr>
            <w:tcW w:w="361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4D">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通过遥感数据反演可燃物含水率、可燃物载量等关键参数，结合气象、地形数据构建模型，生成精细到山头的红、橙、黄三色火险等级预警图。</w:t>
            </w:r>
          </w:p>
        </w:tc>
      </w:tr>
      <w:tr w14:paraId="75B7DD52">
        <w:tblPrEx>
          <w:tblCellMar>
            <w:top w:w="0" w:type="dxa"/>
            <w:left w:w="108" w:type="dxa"/>
            <w:bottom w:w="0" w:type="dxa"/>
            <w:right w:w="108" w:type="dxa"/>
          </w:tblCellMar>
        </w:tblPrEx>
        <w:trPr>
          <w:tblHeader/>
          <w:jc w:val="center"/>
        </w:trPr>
        <w:tc>
          <w:tcPr>
            <w:tcW w:w="466" w:type="pct"/>
            <w:vMerge w:val="continue"/>
            <w:tcBorders>
              <w:left w:val="single" w:color="000000" w:sz="4" w:space="0"/>
              <w:bottom w:val="single" w:color="000000" w:sz="4" w:space="0"/>
              <w:right w:val="single" w:color="000000" w:sz="4" w:space="0"/>
            </w:tcBorders>
            <w:shd w:val="clear" w:color="auto" w:fill="FFFFFF"/>
            <w:textDirection w:val="tbRlV"/>
            <w:vAlign w:val="center"/>
          </w:tcPr>
          <w:p w14:paraId="75B7DD4F">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p>
        </w:tc>
        <w:tc>
          <w:tcPr>
            <w:tcW w:w="9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50">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可燃物管理与阻隔带规划</w:t>
            </w:r>
          </w:p>
        </w:tc>
        <w:tc>
          <w:tcPr>
            <w:tcW w:w="361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51">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利用高光谱遥感对林区可燃物类型分类，为生物防火林带的树种选择与空间布局提供科学依据。</w:t>
            </w:r>
          </w:p>
        </w:tc>
      </w:tr>
      <w:tr w14:paraId="75B7DD56">
        <w:tblPrEx>
          <w:tblCellMar>
            <w:top w:w="0" w:type="dxa"/>
            <w:left w:w="108" w:type="dxa"/>
            <w:bottom w:w="0" w:type="dxa"/>
            <w:right w:w="108" w:type="dxa"/>
          </w:tblCellMar>
        </w:tblPrEx>
        <w:trPr>
          <w:tblHeader/>
          <w:jc w:val="center"/>
        </w:trPr>
        <w:tc>
          <w:tcPr>
            <w:tcW w:w="466" w:type="pct"/>
            <w:vMerge w:val="restart"/>
            <w:tcBorders>
              <w:top w:val="single" w:color="000000" w:sz="4" w:space="0"/>
              <w:left w:val="single" w:color="000000" w:sz="4" w:space="0"/>
              <w:right w:val="single" w:color="000000" w:sz="4" w:space="0"/>
            </w:tcBorders>
            <w:shd w:val="clear" w:color="auto" w:fill="FFFFFF"/>
            <w:textDirection w:val="tbRlV"/>
            <w:vAlign w:val="center"/>
          </w:tcPr>
          <w:p w14:paraId="75B7DD53">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火情监测</w:t>
            </w:r>
          </w:p>
        </w:tc>
        <w:tc>
          <w:tcPr>
            <w:tcW w:w="9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54">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近实时火情发现与定位</w:t>
            </w:r>
          </w:p>
        </w:tc>
        <w:tc>
          <w:tcPr>
            <w:tcW w:w="361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55">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依托风云系列等气象卫星，通过红外波段感知地表热异常，自动识别火点并精准定位，可实现及时更新火情。</w:t>
            </w:r>
          </w:p>
        </w:tc>
      </w:tr>
      <w:tr w14:paraId="75B7DD5A">
        <w:tblPrEx>
          <w:tblCellMar>
            <w:top w:w="0" w:type="dxa"/>
            <w:left w:w="108" w:type="dxa"/>
            <w:bottom w:w="0" w:type="dxa"/>
            <w:right w:w="108" w:type="dxa"/>
          </w:tblCellMar>
        </w:tblPrEx>
        <w:trPr>
          <w:tblHeader/>
          <w:jc w:val="center"/>
        </w:trPr>
        <w:tc>
          <w:tcPr>
            <w:tcW w:w="466" w:type="pct"/>
            <w:vMerge w:val="continue"/>
            <w:tcBorders>
              <w:left w:val="single" w:color="000000" w:sz="4" w:space="0"/>
              <w:bottom w:val="single" w:color="auto" w:sz="4" w:space="0"/>
              <w:right w:val="single" w:color="000000" w:sz="4" w:space="0"/>
            </w:tcBorders>
            <w:shd w:val="clear" w:color="auto" w:fill="FFFFFF"/>
            <w:textDirection w:val="tbRlV"/>
            <w:vAlign w:val="center"/>
          </w:tcPr>
          <w:p w14:paraId="75B7DD57">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p>
        </w:tc>
        <w:tc>
          <w:tcPr>
            <w:tcW w:w="919" w:type="pct"/>
            <w:tcBorders>
              <w:top w:val="single" w:color="000000" w:sz="4" w:space="0"/>
              <w:left w:val="single" w:color="000000" w:sz="4" w:space="0"/>
              <w:bottom w:val="single" w:color="auto" w:sz="4" w:space="0"/>
              <w:right w:val="single" w:color="000000" w:sz="4" w:space="0"/>
            </w:tcBorders>
            <w:shd w:val="clear" w:color="auto" w:fill="FFFFFF"/>
            <w:vAlign w:val="center"/>
          </w:tcPr>
          <w:p w14:paraId="75B7DD58">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火灾蔓延动态分析</w:t>
            </w:r>
          </w:p>
        </w:tc>
        <w:tc>
          <w:tcPr>
            <w:tcW w:w="361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59">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结合实时卫星影像与地形数据，分析火线位置、蔓延方向和速度，为指挥部门调度扑火力量、规划路线提供决策支持。</w:t>
            </w:r>
          </w:p>
        </w:tc>
      </w:tr>
      <w:tr w14:paraId="75B7DD5E">
        <w:tblPrEx>
          <w:tblCellMar>
            <w:top w:w="0" w:type="dxa"/>
            <w:left w:w="108" w:type="dxa"/>
            <w:bottom w:w="0" w:type="dxa"/>
            <w:right w:w="108" w:type="dxa"/>
          </w:tblCellMar>
        </w:tblPrEx>
        <w:trPr>
          <w:tblHeader/>
          <w:jc w:val="center"/>
        </w:trPr>
        <w:tc>
          <w:tcPr>
            <w:tcW w:w="466" w:type="pct"/>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5B7DD5B">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灾后评估</w:t>
            </w:r>
          </w:p>
        </w:tc>
        <w:tc>
          <w:tcPr>
            <w:tcW w:w="919" w:type="pct"/>
            <w:tcBorders>
              <w:top w:val="single" w:color="auto" w:sz="4" w:space="0"/>
              <w:left w:val="single" w:color="auto" w:sz="4" w:space="0"/>
              <w:bottom w:val="single" w:color="auto" w:sz="4" w:space="0"/>
              <w:right w:val="single" w:color="auto" w:sz="4" w:space="0"/>
            </w:tcBorders>
            <w:shd w:val="clear" w:color="auto" w:fill="FFFFFF"/>
            <w:vAlign w:val="center"/>
          </w:tcPr>
          <w:p w14:paraId="75B7DD5C">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过火面积与燃烧烈度评估</w:t>
            </w:r>
          </w:p>
        </w:tc>
        <w:tc>
          <w:tcPr>
            <w:tcW w:w="3613" w:type="pct"/>
            <w:tcBorders>
              <w:top w:val="single" w:color="000000" w:sz="4" w:space="0"/>
              <w:left w:val="single" w:color="auto" w:sz="4" w:space="0"/>
              <w:bottom w:val="single" w:color="000000" w:sz="4" w:space="0"/>
              <w:right w:val="single" w:color="000000" w:sz="4" w:space="0"/>
            </w:tcBorders>
            <w:shd w:val="clear" w:color="auto" w:fill="FFFFFF"/>
            <w:vAlign w:val="center"/>
          </w:tcPr>
          <w:p w14:paraId="75B7DD5D">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对比火灾前后遥感影像，精准提取火烧迹地并评估植被烧毁程度，已有方案通过机器学习算法使分类精度达 93.75%。</w:t>
            </w:r>
          </w:p>
        </w:tc>
      </w:tr>
      <w:tr w14:paraId="75B7DD62">
        <w:tblPrEx>
          <w:tblCellMar>
            <w:top w:w="0" w:type="dxa"/>
            <w:left w:w="108" w:type="dxa"/>
            <w:bottom w:w="0" w:type="dxa"/>
            <w:right w:w="108" w:type="dxa"/>
          </w:tblCellMar>
        </w:tblPrEx>
        <w:trPr>
          <w:tblHeader/>
          <w:jc w:val="center"/>
        </w:trPr>
        <w:tc>
          <w:tcPr>
            <w:tcW w:w="466" w:type="pct"/>
            <w:vMerge w:val="continue"/>
            <w:tcBorders>
              <w:top w:val="single" w:color="auto" w:sz="4" w:space="0"/>
              <w:left w:val="single" w:color="auto" w:sz="4" w:space="0"/>
              <w:bottom w:val="single" w:color="000000" w:sz="4" w:space="0"/>
              <w:right w:val="single" w:color="000000" w:sz="4" w:space="0"/>
            </w:tcBorders>
            <w:shd w:val="clear" w:color="auto" w:fill="FFFFFF"/>
            <w:vAlign w:val="center"/>
          </w:tcPr>
          <w:p w14:paraId="75B7DD5F">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p>
        </w:tc>
        <w:tc>
          <w:tcPr>
            <w:tcW w:w="919" w:type="pct"/>
            <w:tcBorders>
              <w:top w:val="single" w:color="auto" w:sz="4" w:space="0"/>
              <w:left w:val="single" w:color="000000" w:sz="4" w:space="0"/>
              <w:bottom w:val="single" w:color="000000" w:sz="4" w:space="0"/>
              <w:right w:val="single" w:color="000000" w:sz="4" w:space="0"/>
            </w:tcBorders>
            <w:shd w:val="clear" w:color="auto" w:fill="FFFFFF"/>
            <w:vAlign w:val="center"/>
          </w:tcPr>
          <w:p w14:paraId="75B7DD60">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生态影响与碳汇损失评估</w:t>
            </w:r>
          </w:p>
        </w:tc>
        <w:tc>
          <w:tcPr>
            <w:tcW w:w="361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B7DD61">
            <w:pPr>
              <w:widowControl/>
              <w:snapToGrid w:val="0"/>
              <w:spacing w:line="240" w:lineRule="auto"/>
              <w:ind w:firstLine="0" w:firstLineChars="0"/>
              <w:textAlignment w:val="center"/>
              <w:rPr>
                <w:rFonts w:hint="eastAsia" w:ascii="仿宋_GB2312" w:hAnsi="方正仿宋_GB2312" w:cs="方正仿宋_GB2312"/>
                <w:sz w:val="21"/>
                <w:szCs w:val="21"/>
                <w:highlight w:val="none"/>
                <w:lang w:val="en-US" w:bidi="ar"/>
              </w:rPr>
            </w:pPr>
            <w:r>
              <w:rPr>
                <w:rFonts w:hint="eastAsia" w:ascii="仿宋_GB2312" w:hAnsi="方正仿宋_GB2312" w:cs="方正仿宋_GB2312"/>
                <w:sz w:val="21"/>
                <w:szCs w:val="21"/>
                <w:highlight w:val="none"/>
                <w:lang w:val="en-US" w:bidi="ar"/>
              </w:rPr>
              <w:t>利用光学和激光雷达遥感技术，定量评估燃烧生物量、碳排放量及剩余碳储量，支撑灾后生态修复和碳汇恢复规划。</w:t>
            </w:r>
          </w:p>
        </w:tc>
      </w:tr>
    </w:tbl>
    <w:p w14:paraId="75B7DD63">
      <w:pPr>
        <w:ind w:firstLine="480"/>
        <w:rPr>
          <w:rFonts w:hint="eastAsia"/>
          <w:highlight w:val="none"/>
          <w:lang w:val="en-US"/>
        </w:rPr>
      </w:pPr>
      <w:r>
        <w:rPr>
          <w:rFonts w:hint="eastAsia"/>
          <w:highlight w:val="none"/>
          <w:lang w:val="en-US"/>
        </w:rPr>
        <w:t>（五）空天地一体化的综合监测方案（卫星遥感数据需额外购买）</w:t>
      </w:r>
    </w:p>
    <w:p w14:paraId="75B7DD64">
      <w:pPr>
        <w:ind w:firstLine="480"/>
        <w:rPr>
          <w:rFonts w:hint="eastAsia"/>
          <w:highlight w:val="none"/>
          <w:lang w:val="en-US"/>
        </w:rPr>
      </w:pPr>
      <w:r>
        <w:rPr>
          <w:rFonts w:hint="eastAsia"/>
          <w:highlight w:val="none"/>
          <w:lang w:val="en-US"/>
        </w:rPr>
        <w:t>遥感卫星、无人机、视频监控监测到的预警事件和人工上报的事件会第一时间推送到平台上，通过系统消息、声音、APP消息等方式进行提醒。监测预警数据集中在GIS地图上进行展示，可快速检索及定位告警点的空间位置，可对告警进行查看和处理，并联动无人机实时抵近侦察，同时将相关数据实时推送至各级人员。实现了从大范围宏观预警到小区域精准处置的全流程闭环管理。</w:t>
      </w:r>
    </w:p>
    <w:p w14:paraId="75B7DD65">
      <w:pPr>
        <w:ind w:firstLine="480"/>
        <w:rPr>
          <w:rFonts w:hint="eastAsia"/>
          <w:lang w:val="en-US"/>
        </w:rPr>
      </w:pPr>
      <w:r>
        <w:rPr>
          <w:rFonts w:hint="eastAsia"/>
          <w:highlight w:val="none"/>
          <w:lang w:val="en-US"/>
        </w:rPr>
        <w:t>平台聚焦 “火情接收” 核心，整合视频监控、无人机、人工上报、卫星遥感四大监测渠道，实现火情数据全流程管理：支持各渠道数据接入与 AI 识</w:t>
      </w:r>
      <w:r>
        <w:rPr>
          <w:rFonts w:hint="eastAsia"/>
          <w:lang w:val="en-US"/>
        </w:rPr>
        <w:t>别（视频 / 无人机 / 卫星火情 AI 二次识别、人工上报信息标准化），具备告警规则配置（重复告警去重关联）、多渠道推送、详情查询与历史数据回溯功能；通过空天地一体化综合监测模块，实现多源数据融合整合、GIS 一体化展示及联动处置指令生成，构建全维度火情接收与整合处理体系。</w:t>
      </w:r>
    </w:p>
    <w:p w14:paraId="75B7DD66">
      <w:pPr>
        <w:ind w:firstLine="480"/>
        <w:rPr>
          <w:rFonts w:hint="eastAsia"/>
          <w:lang w:val="en-US"/>
        </w:rPr>
      </w:pPr>
      <w:r>
        <w:rPr>
          <w:rFonts w:hint="eastAsia"/>
          <w:lang w:val="en-US"/>
        </w:rPr>
        <w:t>六、火情处理</w:t>
      </w:r>
    </w:p>
    <w:p w14:paraId="75B7DD67">
      <w:pPr>
        <w:ind w:firstLine="480"/>
        <w:rPr>
          <w:rFonts w:hint="eastAsia"/>
          <w:lang w:val="en-US"/>
        </w:rPr>
      </w:pPr>
      <w:r>
        <w:rPr>
          <w:rFonts w:hint="eastAsia"/>
          <w:lang w:val="en-US"/>
        </w:rPr>
        <w:t>（一）火情研判</w:t>
      </w:r>
    </w:p>
    <w:p w14:paraId="75B7DD68">
      <w:pPr>
        <w:ind w:firstLine="480"/>
        <w:rPr>
          <w:rFonts w:hint="eastAsia"/>
          <w:lang w:val="en-US"/>
        </w:rPr>
      </w:pPr>
      <w:r>
        <w:rPr>
          <w:rFonts w:hint="eastAsia"/>
          <w:lang w:val="en-US"/>
        </w:rPr>
        <w:t>可根据事件名称、事件类型、事发地点、告警图片、告警视频等事件信息，以及告警摄像头的实时视频，判断事件是真实警情、误报或者重复告警。由于不同告警来源的告警可能都是指向同一事件，同一告警来源的多次告警也可能指向同一事件，为了不对同一事件进行重复处理，可以将告警事件置为重复告警，将其与之前已研判为真的事件进行关联。</w:t>
      </w:r>
    </w:p>
    <w:p w14:paraId="75B7DD69">
      <w:pPr>
        <w:ind w:firstLine="480"/>
        <w:rPr>
          <w:rFonts w:hint="eastAsia"/>
          <w:lang w:val="en-US"/>
        </w:rPr>
      </w:pPr>
      <w:r>
        <w:rPr>
          <w:rFonts w:hint="eastAsia"/>
          <w:lang w:val="en-US"/>
        </w:rPr>
        <w:t>1.火点定位</w:t>
      </w:r>
    </w:p>
    <w:p w14:paraId="75B7DD6A">
      <w:pPr>
        <w:ind w:firstLine="480"/>
        <w:rPr>
          <w:rFonts w:hint="eastAsia"/>
          <w:lang w:val="en-US"/>
        </w:rPr>
      </w:pPr>
      <w:r>
        <w:rPr>
          <w:rFonts w:hint="eastAsia"/>
          <w:lang w:val="en-US"/>
        </w:rPr>
        <w:t>系统可以实现火点位置，向系统发出火情告警。实现火点定位的三个步骤为：</w:t>
      </w:r>
    </w:p>
    <w:p w14:paraId="75B7DD6B">
      <w:pPr>
        <w:ind w:firstLine="480"/>
        <w:rPr>
          <w:rFonts w:hint="eastAsia"/>
          <w:lang w:val="en-US"/>
        </w:rPr>
      </w:pPr>
      <w:r>
        <w:rPr>
          <w:rFonts w:hint="eastAsia"/>
          <w:lang w:val="en-US"/>
        </w:rPr>
        <w:t>（1）坐标定位，通过经纬度信息直接定位火点；</w:t>
      </w:r>
    </w:p>
    <w:p w14:paraId="75B7DD6C">
      <w:pPr>
        <w:ind w:firstLine="480"/>
        <w:rPr>
          <w:rFonts w:hint="eastAsia"/>
          <w:lang w:val="en-US"/>
        </w:rPr>
      </w:pPr>
      <w:r>
        <w:rPr>
          <w:rFonts w:hint="eastAsia"/>
          <w:lang w:val="en-US"/>
        </w:rPr>
        <w:t>（2）单点定位，通过监控塔摄像机的水平俯仰角信息，并结合地图的DEM数据定位火点。</w:t>
      </w:r>
    </w:p>
    <w:p w14:paraId="75B7DD6D">
      <w:pPr>
        <w:ind w:firstLine="480"/>
        <w:rPr>
          <w:rFonts w:hint="eastAsia"/>
          <w:lang w:val="en-US"/>
        </w:rPr>
      </w:pPr>
      <w:r>
        <w:rPr>
          <w:rFonts w:hint="eastAsia"/>
          <w:lang w:val="en-US"/>
        </w:rPr>
        <w:t>火点定位算法是根据设备的经纬度，观测到火点时云台的水平和俯仰角，计算火点位置的方法。假设设备经纬度信息O(X,Y），高度（H），对准火点时所处的俯仰角（β），水平角（</w:t>
      </w:r>
      <w:r>
        <w:rPr>
          <w:rFonts w:ascii="Courier New" w:hAnsi="Courier New" w:cs="Courier New"/>
          <w:lang w:val="en-US"/>
        </w:rPr>
        <w:t>ɑ</w:t>
      </w:r>
      <w:r>
        <w:rPr>
          <w:rFonts w:hint="eastAsia" w:ascii="仿宋_GB2312" w:hAnsi="仿宋_GB2312" w:cs="仿宋_GB2312"/>
          <w:lang w:val="en-US"/>
        </w:rPr>
        <w:t>），</w:t>
      </w:r>
      <w:r>
        <w:rPr>
          <w:rFonts w:hint="eastAsia"/>
          <w:lang w:val="en-US"/>
        </w:rPr>
        <w:t>F点为火点(X_0,Y_0），空间示意图如下图：</w:t>
      </w:r>
    </w:p>
    <w:p w14:paraId="75B7DD6E">
      <w:pPr>
        <w:spacing w:line="240" w:lineRule="auto"/>
        <w:ind w:firstLine="0" w:firstLineChars="0"/>
        <w:jc w:val="center"/>
        <w:rPr>
          <w:rFonts w:hint="eastAsia"/>
          <w:lang w:val="en-US"/>
        </w:rPr>
      </w:pPr>
      <w:r>
        <w:rPr>
          <w:rFonts w:hint="eastAsia" w:eastAsia="宋体"/>
        </w:rPr>
        <w:drawing>
          <wp:inline distT="0" distB="0" distL="114300" distR="114300">
            <wp:extent cx="2529840" cy="2308860"/>
            <wp:effectExtent l="0" t="0" r="10160" b="2540"/>
            <wp:docPr id="35" name="图片 35" descr="999cff28-edcc-4d1b-8a21-88ceb0ab0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999cff28-edcc-4d1b-8a21-88ceb0ab0453"/>
                    <pic:cNvPicPr>
                      <a:picLocks noChangeAspect="1"/>
                    </pic:cNvPicPr>
                  </pic:nvPicPr>
                  <pic:blipFill>
                    <a:blip r:embed="rId36">
                      <a:lum bright="-6000"/>
                    </a:blip>
                    <a:stretch>
                      <a:fillRect/>
                    </a:stretch>
                  </pic:blipFill>
                  <pic:spPr>
                    <a:xfrm>
                      <a:off x="0" y="0"/>
                      <a:ext cx="2529840" cy="2308860"/>
                    </a:xfrm>
                    <a:prstGeom prst="rect">
                      <a:avLst/>
                    </a:prstGeom>
                  </pic:spPr>
                </pic:pic>
              </a:graphicData>
            </a:graphic>
          </wp:inline>
        </w:drawing>
      </w:r>
    </w:p>
    <w:p w14:paraId="75B7DD6F">
      <w:pPr>
        <w:ind w:firstLine="480"/>
        <w:jc w:val="center"/>
        <w:rPr>
          <w:rFonts w:hint="eastAsia"/>
          <w:lang w:val="en-US"/>
        </w:rPr>
      </w:pPr>
      <w:r>
        <w:rPr>
          <w:rFonts w:hint="eastAsia"/>
          <w:lang w:val="en-US"/>
        </w:rPr>
        <w:t>空间示意图</w:t>
      </w:r>
    </w:p>
    <w:p w14:paraId="75B7DD70">
      <w:pPr>
        <w:ind w:firstLine="480"/>
        <w:rPr>
          <w:rFonts w:hint="eastAsia"/>
          <w:lang w:val="en-US"/>
        </w:rPr>
      </w:pPr>
      <w:r>
        <w:rPr>
          <w:rFonts w:hint="eastAsia"/>
          <w:lang w:val="en-US"/>
        </w:rPr>
        <w:t>火点经纬度的计算需要使用数字高程模型Dem来计算，Dem是一定范围内规则网格点的平面坐标（X，Y）及其高程（Z）的数据集。</w:t>
      </w:r>
    </w:p>
    <w:p w14:paraId="75B7DD71">
      <w:pPr>
        <w:ind w:firstLine="480"/>
        <w:rPr>
          <w:rFonts w:hint="eastAsia"/>
          <w:lang w:val="en-US"/>
        </w:rPr>
      </w:pPr>
      <w:r>
        <w:rPr>
          <w:rFonts w:hint="eastAsia"/>
          <w:lang w:val="en-US"/>
        </w:rPr>
        <w:t>根据设备的水平角确定如何去扫描Dem来查找火点位置，通过俯仰角来确定最终的火点位置。</w:t>
      </w:r>
    </w:p>
    <w:p w14:paraId="75B7DD72">
      <w:pPr>
        <w:spacing w:line="240" w:lineRule="auto"/>
        <w:ind w:firstLine="0" w:firstLineChars="0"/>
        <w:jc w:val="center"/>
        <w:rPr>
          <w:rFonts w:hint="eastAsia"/>
          <w:lang w:val="en-US"/>
        </w:rPr>
      </w:pPr>
      <w:r>
        <w:rPr>
          <w:rFonts w:hint="eastAsia" w:eastAsia="宋体"/>
          <w:szCs w:val="28"/>
        </w:rPr>
        <w:drawing>
          <wp:inline distT="0" distB="0" distL="114300" distR="114300">
            <wp:extent cx="3108960" cy="1828800"/>
            <wp:effectExtent l="0" t="0" r="2540" b="0"/>
            <wp:docPr id="37" name="图片 37" descr="e22b39d6-3842-4f27-b9f2-022205107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e22b39d6-3842-4f27-b9f2-022205107de1"/>
                    <pic:cNvPicPr>
                      <a:picLocks noChangeAspect="1"/>
                    </pic:cNvPicPr>
                  </pic:nvPicPr>
                  <pic:blipFill>
                    <a:blip r:embed="rId37"/>
                    <a:stretch>
                      <a:fillRect/>
                    </a:stretch>
                  </pic:blipFill>
                  <pic:spPr>
                    <a:xfrm>
                      <a:off x="0" y="0"/>
                      <a:ext cx="3108960" cy="1828800"/>
                    </a:xfrm>
                    <a:prstGeom prst="rect">
                      <a:avLst/>
                    </a:prstGeom>
                  </pic:spPr>
                </pic:pic>
              </a:graphicData>
            </a:graphic>
          </wp:inline>
        </w:drawing>
      </w:r>
    </w:p>
    <w:p w14:paraId="75B7DD73">
      <w:pPr>
        <w:ind w:firstLine="480"/>
        <w:jc w:val="center"/>
        <w:rPr>
          <w:rFonts w:hint="eastAsia"/>
          <w:lang w:val="en-US"/>
        </w:rPr>
      </w:pPr>
      <w:r>
        <w:rPr>
          <w:rFonts w:hint="eastAsia"/>
          <w:lang w:val="en-US"/>
        </w:rPr>
        <w:t>高程模型</w:t>
      </w:r>
    </w:p>
    <w:p w14:paraId="75B7DD74">
      <w:pPr>
        <w:ind w:firstLine="480"/>
        <w:rPr>
          <w:rFonts w:hint="eastAsia"/>
          <w:lang w:val="en-US"/>
        </w:rPr>
      </w:pPr>
      <w:r>
        <w:rPr>
          <w:rFonts w:hint="eastAsia"/>
          <w:lang w:val="en-US"/>
        </w:rPr>
        <w:t>如上图，根据数字高程模型DEM可以得到每个扫描点的高程值，如图中的A0、B0等，根据俯仰角计算出每个扫描点的高度值，如图中的A1、B1。如果(A1-A0）*(B1-B0）小于0，则火点位于A与B之间，以A与B的中点作为火点位置，如上图中的D点。</w:t>
      </w:r>
    </w:p>
    <w:p w14:paraId="75B7DD75">
      <w:pPr>
        <w:ind w:firstLine="480"/>
        <w:rPr>
          <w:rFonts w:hint="eastAsia"/>
          <w:lang w:val="en-US"/>
        </w:rPr>
      </w:pPr>
      <w:r>
        <w:rPr>
          <w:rFonts w:hint="eastAsia"/>
          <w:lang w:val="en-US"/>
        </w:rPr>
        <w:t>2.周边情况分析</w:t>
      </w:r>
    </w:p>
    <w:p w14:paraId="75B7DD76">
      <w:pPr>
        <w:ind w:firstLine="480"/>
        <w:rPr>
          <w:rFonts w:hint="eastAsia"/>
          <w:lang w:val="en-US"/>
        </w:rPr>
      </w:pPr>
      <w:r>
        <w:rPr>
          <w:rFonts w:hint="eastAsia"/>
          <w:lang w:val="en-US"/>
        </w:rPr>
        <w:t>支持对火情进行周边分析，以火情地点为中心，对其周边区域内林场信息、敏感目标、危险源、水源地、救援力量、扑救物资、隔离带、视频点位、巡护人员等进行系统分析，可查询周边信息的详情，如距离、数量、责任单位等，以获取周边环境重点关注信息和识别潜在风险，为火险扑救提供信息支撑。</w:t>
      </w:r>
    </w:p>
    <w:p w14:paraId="75B7DD77">
      <w:pPr>
        <w:ind w:firstLine="480"/>
        <w:rPr>
          <w:rFonts w:hint="eastAsia"/>
          <w:lang w:val="en-US"/>
        </w:rPr>
      </w:pPr>
      <w:r>
        <w:rPr>
          <w:rFonts w:hint="eastAsia"/>
          <w:lang w:val="en-US"/>
        </w:rPr>
        <w:t>3.告警提示管理</w:t>
      </w:r>
    </w:p>
    <w:p w14:paraId="75B7DD78">
      <w:pPr>
        <w:ind w:firstLine="480"/>
        <w:rPr>
          <w:rFonts w:hint="eastAsia"/>
          <w:lang w:val="en-US"/>
        </w:rPr>
      </w:pPr>
      <w:r>
        <w:rPr>
          <w:rFonts w:hint="eastAsia"/>
          <w:lang w:val="en-US"/>
        </w:rPr>
        <w:t>通过系统可对高频率异常或重复告警提示信息进行管理，降低重复告警信息或异常告警信息的提醒频率，实现对重复报警或异常报警提示的智能管控。</w:t>
      </w:r>
    </w:p>
    <w:p w14:paraId="75B7DD79">
      <w:pPr>
        <w:ind w:firstLine="480"/>
        <w:rPr>
          <w:rFonts w:hint="eastAsia"/>
          <w:lang w:val="en-US"/>
        </w:rPr>
      </w:pPr>
      <w:r>
        <w:rPr>
          <w:rFonts w:hint="eastAsia"/>
          <w:lang w:val="en-US"/>
        </w:rPr>
        <w:t>4.研判结果</w:t>
      </w:r>
    </w:p>
    <w:p w14:paraId="75B7DD7A">
      <w:pPr>
        <w:ind w:firstLine="480"/>
        <w:rPr>
          <w:rFonts w:hint="eastAsia"/>
          <w:lang w:val="en-US"/>
        </w:rPr>
      </w:pPr>
      <w:r>
        <w:rPr>
          <w:rFonts w:hint="eastAsia"/>
          <w:lang w:val="en-US"/>
        </w:rPr>
        <w:t>通过人机结合的方式实现对各类告警信息的研判，在研判过程中可参考相关的摄像头实时数据以及现场的巡查信息进行判定告警信息真实、误报、重复告警，通过告警计算规则对一定区域内的告警信息进行聚类重复处理，并根据告警表示实现对重复报警信息的关联以及统计。</w:t>
      </w:r>
    </w:p>
    <w:p w14:paraId="75B7DD7B">
      <w:pPr>
        <w:ind w:firstLine="480"/>
        <w:rPr>
          <w:rFonts w:hint="eastAsia"/>
          <w:lang w:val="en-US"/>
        </w:rPr>
      </w:pPr>
      <w:r>
        <w:rPr>
          <w:rFonts w:hint="eastAsia"/>
          <w:lang w:val="en-US"/>
        </w:rPr>
        <w:t>（二）火情调度</w:t>
      </w:r>
    </w:p>
    <w:p w14:paraId="75B7DD7C">
      <w:pPr>
        <w:ind w:firstLine="480"/>
        <w:rPr>
          <w:rFonts w:hint="eastAsia"/>
          <w:lang w:val="en-US"/>
        </w:rPr>
      </w:pPr>
      <w:r>
        <w:rPr>
          <w:rFonts w:hint="eastAsia"/>
          <w:lang w:val="en-US"/>
        </w:rPr>
        <w:t>对于研判为真实警情的火情，可根据火情的严重程度、所属管辖区域、负责人等，选择处置人员或者处置部门对火情进行现场处置，给处置人员或处置部门下发处置任务。</w:t>
      </w:r>
    </w:p>
    <w:p w14:paraId="75B7DD7D">
      <w:pPr>
        <w:ind w:firstLine="480"/>
        <w:rPr>
          <w:rFonts w:hint="eastAsia"/>
          <w:lang w:val="en-US"/>
        </w:rPr>
      </w:pPr>
      <w:r>
        <w:rPr>
          <w:rFonts w:hint="eastAsia"/>
          <w:lang w:val="en-US"/>
        </w:rPr>
        <w:t>（三）火情处置</w:t>
      </w:r>
    </w:p>
    <w:p w14:paraId="75B7DD7E">
      <w:pPr>
        <w:ind w:firstLine="480"/>
        <w:rPr>
          <w:rFonts w:hint="eastAsia"/>
          <w:lang w:val="en-US"/>
        </w:rPr>
      </w:pPr>
      <w:r>
        <w:rPr>
          <w:rFonts w:hint="eastAsia"/>
          <w:lang w:val="en-US"/>
        </w:rPr>
        <w:t>处置人员或处置部门接收到处置任务后，对火情进行处置，反馈火情是否处理完成，填写任务处置结果并上传相关图片视频。</w:t>
      </w:r>
    </w:p>
    <w:p w14:paraId="75B7DD7F">
      <w:pPr>
        <w:ind w:firstLine="480"/>
        <w:rPr>
          <w:rFonts w:hint="eastAsia"/>
          <w:lang w:val="en-US"/>
        </w:rPr>
      </w:pPr>
      <w:r>
        <w:rPr>
          <w:rFonts w:hint="eastAsia"/>
          <w:lang w:val="en-US"/>
        </w:rPr>
        <w:t>（四）火情核实</w:t>
      </w:r>
    </w:p>
    <w:p w14:paraId="75B7DD80">
      <w:pPr>
        <w:ind w:firstLine="480"/>
        <w:rPr>
          <w:rFonts w:hint="eastAsia"/>
          <w:lang w:val="en-US"/>
        </w:rPr>
      </w:pPr>
      <w:r>
        <w:rPr>
          <w:rFonts w:hint="eastAsia"/>
          <w:lang w:val="en-US"/>
        </w:rPr>
        <w:t>接收处置人员或处置部门的处置结果后，根据处置详情、图片和视频，核实火情是否已处理完成。对于未处理完成的火情可再次下发处置任务直到火情处理完成。</w:t>
      </w:r>
    </w:p>
    <w:p w14:paraId="75B7DD81">
      <w:pPr>
        <w:ind w:firstLine="480"/>
        <w:rPr>
          <w:rFonts w:hint="eastAsia"/>
          <w:lang w:val="en-US"/>
        </w:rPr>
      </w:pPr>
      <w:r>
        <w:rPr>
          <w:rFonts w:hint="eastAsia"/>
          <w:lang w:val="en-US"/>
        </w:rPr>
        <w:t>（五）火情监管</w:t>
      </w:r>
    </w:p>
    <w:p w14:paraId="75B7DD82">
      <w:pPr>
        <w:ind w:firstLine="480"/>
        <w:rPr>
          <w:rFonts w:hint="eastAsia"/>
          <w:lang w:val="en-US"/>
        </w:rPr>
      </w:pPr>
      <w:r>
        <w:rPr>
          <w:rFonts w:hint="eastAsia"/>
          <w:lang w:val="en-US"/>
        </w:rPr>
        <w:t>1.事件处理进度监控</w:t>
      </w:r>
    </w:p>
    <w:p w14:paraId="75B7DD83">
      <w:pPr>
        <w:ind w:firstLine="480"/>
        <w:rPr>
          <w:rFonts w:hint="eastAsia"/>
          <w:lang w:val="en-US"/>
        </w:rPr>
      </w:pPr>
      <w:r>
        <w:rPr>
          <w:rFonts w:hint="eastAsia"/>
          <w:lang w:val="en-US"/>
        </w:rPr>
        <w:t>领导可查看事件处理进度，对事件处理进度进行监控。</w:t>
      </w:r>
    </w:p>
    <w:p w14:paraId="75B7DD84">
      <w:pPr>
        <w:ind w:firstLine="480"/>
        <w:rPr>
          <w:rFonts w:hint="eastAsia"/>
          <w:lang w:val="en-US"/>
        </w:rPr>
      </w:pPr>
      <w:r>
        <w:rPr>
          <w:rFonts w:hint="eastAsia"/>
          <w:lang w:val="en-US"/>
        </w:rPr>
        <w:t>2.事件催办</w:t>
      </w:r>
    </w:p>
    <w:p w14:paraId="75B7DD85">
      <w:pPr>
        <w:ind w:firstLine="480"/>
        <w:rPr>
          <w:rFonts w:hint="eastAsia"/>
          <w:lang w:val="en-US"/>
        </w:rPr>
      </w:pPr>
      <w:r>
        <w:rPr>
          <w:rFonts w:hint="eastAsia"/>
          <w:lang w:val="en-US"/>
        </w:rPr>
        <w:t>当事件在研判、调度、处置、核实各环节超出处理时限还未进行处理的，系统将自动发出超期提醒，并自动上报给指定领导。领导可进行事件催办，提醒处理人员尽快处理。</w:t>
      </w:r>
    </w:p>
    <w:p w14:paraId="75B7DD86">
      <w:pPr>
        <w:ind w:firstLine="480"/>
        <w:rPr>
          <w:rFonts w:hint="eastAsia"/>
          <w:lang w:val="en-US"/>
        </w:rPr>
      </w:pPr>
      <w:r>
        <w:rPr>
          <w:rFonts w:hint="eastAsia"/>
          <w:lang w:val="en-US"/>
        </w:rPr>
        <w:t>3.领导批示</w:t>
      </w:r>
    </w:p>
    <w:p w14:paraId="75B7DD87">
      <w:pPr>
        <w:ind w:firstLine="480"/>
        <w:rPr>
          <w:rFonts w:hint="eastAsia"/>
          <w:lang w:val="en-US"/>
        </w:rPr>
      </w:pPr>
      <w:r>
        <w:rPr>
          <w:rFonts w:hint="eastAsia"/>
          <w:lang w:val="en-US"/>
        </w:rPr>
        <w:t>领导批示可查看申请领导批示内容和关联事件，支持领导进行批示回复。</w:t>
      </w:r>
    </w:p>
    <w:p w14:paraId="75B7DD88">
      <w:pPr>
        <w:ind w:firstLine="480"/>
        <w:rPr>
          <w:rFonts w:hint="eastAsia"/>
          <w:lang w:val="en-US"/>
        </w:rPr>
      </w:pPr>
      <w:r>
        <w:rPr>
          <w:rFonts w:hint="eastAsia"/>
          <w:lang w:val="en-US"/>
        </w:rPr>
        <w:t>平台围绕 “火情处理” 全流程，整合研判、调度、核实、监管四大核心功能：支持火情研判（火点精准定位、多源告警关联聚合并真实性判定）、火情调度（处置对象自动匹配与任务批量下发，GIS 态势可视化）、火情核实（结果规则配置与未完成任务二次调度）及火情监管（全流程进度实时监控、超时自动催办、领导批示流转与统计分析），实现从火情分析到处置闭环的全链路管理。</w:t>
      </w:r>
    </w:p>
    <w:p w14:paraId="75B7DD89">
      <w:pPr>
        <w:ind w:firstLine="480"/>
        <w:rPr>
          <w:rFonts w:hint="eastAsia"/>
          <w:lang w:val="en-US"/>
        </w:rPr>
      </w:pPr>
      <w:r>
        <w:rPr>
          <w:rFonts w:hint="eastAsia"/>
          <w:lang w:val="en-US"/>
        </w:rPr>
        <w:t>七、指挥调度</w:t>
      </w:r>
    </w:p>
    <w:p w14:paraId="75B7DD8A">
      <w:pPr>
        <w:ind w:firstLine="480"/>
        <w:rPr>
          <w:rFonts w:hint="eastAsia"/>
          <w:lang w:val="en-US"/>
        </w:rPr>
      </w:pPr>
      <w:r>
        <w:rPr>
          <w:rFonts w:hint="eastAsia"/>
          <w:lang w:val="en-US"/>
        </w:rPr>
        <w:t>（一）调度分析管理</w:t>
      </w:r>
    </w:p>
    <w:p w14:paraId="75B7DD8B">
      <w:pPr>
        <w:ind w:firstLine="480"/>
        <w:rPr>
          <w:rFonts w:hint="eastAsia"/>
          <w:lang w:val="en-US"/>
        </w:rPr>
      </w:pPr>
      <w:r>
        <w:rPr>
          <w:rFonts w:hint="eastAsia"/>
          <w:lang w:val="en-US"/>
        </w:rPr>
        <w:t>周边情况分析：支持对火情进行周边分析，以火情地点为中心，对其周边区域内防护目标、危险源、水源、救援力量、扑救物资、植被等进行系统分析，以获取周边环境重点关注信息和识别潜在风险，为火险扑救提供信息支撑。</w:t>
      </w:r>
    </w:p>
    <w:p w14:paraId="75B7DD8C">
      <w:pPr>
        <w:ind w:firstLine="480"/>
        <w:rPr>
          <w:rFonts w:hint="eastAsia"/>
          <w:lang w:val="en-US"/>
        </w:rPr>
      </w:pPr>
      <w:r>
        <w:rPr>
          <w:rFonts w:hint="eastAsia"/>
          <w:lang w:val="en-US"/>
        </w:rPr>
        <w:t>事件态势分析：通过接入和分析气象信息、现场视频和其他现场检测数据，分析火情所在位置的地理信息，包括坡度、道路距离等。了解事件现场的状态，辅助决策人员把握当前事件态势。</w:t>
      </w:r>
    </w:p>
    <w:p w14:paraId="75B7DD8D">
      <w:pPr>
        <w:ind w:firstLine="480"/>
        <w:rPr>
          <w:rFonts w:hint="eastAsia"/>
          <w:lang w:val="en-US"/>
        </w:rPr>
      </w:pPr>
      <w:r>
        <w:rPr>
          <w:rFonts w:hint="eastAsia"/>
          <w:lang w:val="en-US"/>
        </w:rPr>
        <w:t>火势蔓延预测：支持动态分析和预测火势蔓延的方向，火场面积，火场边界等功能。火势蔓延分析所需的气象数据支持人工手动录入和通过接口自动获取方式。构建森林火势蔓延分析模型，利用火势蔓延模型结合火场火点位置信息、风速信息、风向信息、可燃物信息等相关信息动态模拟火势蔓延态势，根据火势蔓延分析结果动态展示火焰蔓延范围，围绕火点可快速检索火势蔓延范围内的相关林场信息、救援物资信息、人员信息、隔离带、扑火队等相关信息，基于GIS地图实现火情信息的全方位关联分析展示，为森林火情事件的应急处置工作提供信息化辅助，全面支撑火情应急处置能力。</w:t>
      </w:r>
    </w:p>
    <w:p w14:paraId="75B7DD8E">
      <w:pPr>
        <w:ind w:firstLine="480"/>
        <w:rPr>
          <w:rFonts w:hint="eastAsia"/>
          <w:lang w:val="en-US"/>
        </w:rPr>
      </w:pPr>
      <w:r>
        <w:rPr>
          <w:rFonts w:hint="eastAsia"/>
          <w:lang w:val="en-US"/>
        </w:rPr>
        <w:t>应急预案分析：</w:t>
      </w:r>
    </w:p>
    <w:p w14:paraId="75B7DD8F">
      <w:pPr>
        <w:ind w:firstLine="480"/>
        <w:rPr>
          <w:rFonts w:hint="eastAsia"/>
          <w:lang w:val="en-US"/>
        </w:rPr>
      </w:pPr>
      <w:r>
        <w:rPr>
          <w:rFonts w:hint="eastAsia"/>
          <w:lang w:val="en-US"/>
        </w:rPr>
        <w:t>应急预案预览</w:t>
      </w:r>
    </w:p>
    <w:p w14:paraId="75B7DD90">
      <w:pPr>
        <w:ind w:firstLine="480"/>
        <w:rPr>
          <w:rFonts w:hint="eastAsia"/>
          <w:lang w:val="en-US"/>
        </w:rPr>
      </w:pPr>
      <w:r>
        <w:rPr>
          <w:rFonts w:hint="eastAsia"/>
          <w:lang w:val="en-US"/>
        </w:rPr>
        <w:t>通过平台可对火情应急预案进行线上预览，根据火情的级别选择不同的应急预览进行信息预览，可对整个应急预案文本关键节点信息进行全面检索，平台支持对线上编制或者上传火情应急预案的预览，并可查看所有火情预案信息情况，全面辅助火情应急处置工作。</w:t>
      </w:r>
    </w:p>
    <w:p w14:paraId="75B7DD91">
      <w:pPr>
        <w:ind w:firstLine="480"/>
        <w:rPr>
          <w:rFonts w:hint="eastAsia"/>
          <w:lang w:val="en-US"/>
        </w:rPr>
      </w:pPr>
      <w:r>
        <w:rPr>
          <w:rFonts w:hint="eastAsia"/>
          <w:lang w:val="en-US"/>
        </w:rPr>
        <w:t>应急预案编制</w:t>
      </w:r>
    </w:p>
    <w:p w14:paraId="75B7DD92">
      <w:pPr>
        <w:ind w:firstLine="480"/>
        <w:rPr>
          <w:rFonts w:hint="eastAsia"/>
          <w:lang w:val="en-US"/>
        </w:rPr>
      </w:pPr>
      <w:r>
        <w:rPr>
          <w:rFonts w:hint="eastAsia"/>
          <w:lang w:val="en-US"/>
        </w:rPr>
        <w:t>为火情应急预案提供定制化预案编制模板，用户通过配置好的填报模板编制相关应急预案信息，根据不同森林火情信息实现综合应急预案、区域应急预案的定制化编制，并实现对应急预案的日常维护管理，包括应急预案信息新建、修改、删除等，系统支持应急预案的导入和导出。</w:t>
      </w:r>
    </w:p>
    <w:p w14:paraId="75B7DD93">
      <w:pPr>
        <w:ind w:firstLine="480"/>
        <w:rPr>
          <w:rFonts w:hint="eastAsia"/>
          <w:lang w:val="en-US"/>
        </w:rPr>
      </w:pPr>
      <w:r>
        <w:rPr>
          <w:rFonts w:hint="eastAsia"/>
          <w:lang w:val="en-US"/>
        </w:rPr>
        <w:t>应急预案管理</w:t>
      </w:r>
    </w:p>
    <w:p w14:paraId="75B7DD94">
      <w:pPr>
        <w:ind w:firstLine="480"/>
        <w:rPr>
          <w:rFonts w:hint="eastAsia"/>
          <w:lang w:val="en-US"/>
        </w:rPr>
      </w:pPr>
      <w:r>
        <w:rPr>
          <w:rFonts w:hint="eastAsia"/>
          <w:lang w:val="en-US"/>
        </w:rPr>
        <w:t>系统对编制的应急预案、上传的应急预案可实现分类管理，结合火情级别、时间、类型等内容对应急预案信息进行归档与统计查询，可对不同类型的应急预案信息进行分析与应用，全面提升森林火情应急事件的处置能力以及处置效率，为森林火情应急支持工作提供辅助支撑。</w:t>
      </w:r>
    </w:p>
    <w:p w14:paraId="75B7DD95">
      <w:pPr>
        <w:ind w:firstLine="480"/>
        <w:rPr>
          <w:rFonts w:hint="eastAsia"/>
          <w:lang w:val="en-US"/>
        </w:rPr>
      </w:pPr>
      <w:r>
        <w:rPr>
          <w:rFonts w:hint="eastAsia"/>
          <w:lang w:val="en-US"/>
        </w:rPr>
        <w:t>灭火方案分析：</w:t>
      </w:r>
    </w:p>
    <w:p w14:paraId="75B7DD96">
      <w:pPr>
        <w:ind w:firstLine="480"/>
        <w:rPr>
          <w:rFonts w:hint="eastAsia"/>
          <w:lang w:val="en-US"/>
        </w:rPr>
      </w:pPr>
      <w:r>
        <w:rPr>
          <w:rFonts w:hint="eastAsia"/>
          <w:lang w:val="en-US"/>
        </w:rPr>
        <w:t>支持在地图上进行标绘，具备火场情况标绘、救援力量调度标绘、救援路线规划标绘、隔离带规划标绘、车辆集结出发地点标绘、人员车辆行走进度标绘、人员车辆实时位置显示等功能，同时支持选择制定好的应急预案，对资源进行快速调度和部署。具体功能如下：</w:t>
      </w:r>
    </w:p>
    <w:p w14:paraId="75B7DD97">
      <w:pPr>
        <w:ind w:firstLine="480"/>
        <w:rPr>
          <w:rFonts w:hint="eastAsia"/>
          <w:lang w:val="en-US"/>
        </w:rPr>
      </w:pPr>
      <w:r>
        <w:rPr>
          <w:rFonts w:hint="eastAsia"/>
          <w:lang w:val="en-US"/>
        </w:rPr>
        <w:t>（1）火场情况标绘能够实现过火区域标绘、火线标绘、蔓延方向标绘、火势范围标绘。</w:t>
      </w:r>
    </w:p>
    <w:p w14:paraId="75B7DD98">
      <w:pPr>
        <w:ind w:firstLine="480"/>
        <w:rPr>
          <w:rFonts w:hint="eastAsia"/>
          <w:lang w:val="en-US"/>
        </w:rPr>
      </w:pPr>
      <w:r>
        <w:rPr>
          <w:rFonts w:hint="eastAsia"/>
          <w:lang w:val="en-US"/>
        </w:rPr>
        <w:t>（2）救援力量调度标绘实现对其集结、目的地、任务等的标绘，可标绘类型至少包含防火队、防火队员、救护车、消防车、无人机、护林员等救援力量。</w:t>
      </w:r>
    </w:p>
    <w:p w14:paraId="75B7DD99">
      <w:pPr>
        <w:ind w:firstLine="480"/>
        <w:rPr>
          <w:rFonts w:hint="eastAsia"/>
          <w:lang w:val="en-US"/>
        </w:rPr>
      </w:pPr>
      <w:r>
        <w:rPr>
          <w:rFonts w:hint="eastAsia"/>
          <w:lang w:val="en-US"/>
        </w:rPr>
        <w:t>（3）支持在电子地图上进行自定义文本及图像标绘。</w:t>
      </w:r>
    </w:p>
    <w:p w14:paraId="75B7DD9A">
      <w:pPr>
        <w:ind w:firstLine="480"/>
        <w:rPr>
          <w:rFonts w:hint="eastAsia"/>
          <w:lang w:val="en-US"/>
        </w:rPr>
      </w:pPr>
      <w:r>
        <w:rPr>
          <w:rFonts w:hint="eastAsia"/>
          <w:lang w:val="en-US"/>
        </w:rPr>
        <w:t>（4）支持在电子地图上进行自定义画线、画面、画圆、画椭圆、画弧线标绘。</w:t>
      </w:r>
    </w:p>
    <w:p w14:paraId="75B7DD9B">
      <w:pPr>
        <w:ind w:firstLine="480"/>
        <w:rPr>
          <w:rFonts w:hint="eastAsia"/>
          <w:lang w:val="en-US"/>
        </w:rPr>
      </w:pPr>
      <w:r>
        <w:rPr>
          <w:rFonts w:hint="eastAsia"/>
          <w:lang w:val="en-US"/>
        </w:rPr>
        <w:t>（5）支持在电子地图上进行自定义二维箭头、三维箭头标绘。</w:t>
      </w:r>
    </w:p>
    <w:p w14:paraId="75B7DD9C">
      <w:pPr>
        <w:ind w:firstLine="480"/>
        <w:rPr>
          <w:rFonts w:hint="eastAsia"/>
          <w:lang w:val="en-US"/>
        </w:rPr>
      </w:pPr>
      <w:r>
        <w:rPr>
          <w:rFonts w:hint="eastAsia"/>
          <w:lang w:val="en-US"/>
        </w:rPr>
        <w:t>（6）救援路线规划标绘实现不同人员、车辆行走路线规划。</w:t>
      </w:r>
    </w:p>
    <w:p w14:paraId="75B7DD9D">
      <w:pPr>
        <w:ind w:firstLine="480"/>
        <w:rPr>
          <w:rFonts w:hint="eastAsia"/>
          <w:lang w:val="en-US"/>
        </w:rPr>
      </w:pPr>
      <w:r>
        <w:rPr>
          <w:rFonts w:hint="eastAsia"/>
          <w:lang w:val="en-US"/>
        </w:rPr>
        <w:t>（7）车辆集结出发地点标绘实现车辆集结出发位置标绘。</w:t>
      </w:r>
    </w:p>
    <w:p w14:paraId="75B7DD9E">
      <w:pPr>
        <w:ind w:firstLine="480"/>
        <w:rPr>
          <w:rFonts w:hint="eastAsia"/>
          <w:lang w:val="en-US"/>
        </w:rPr>
      </w:pPr>
      <w:r>
        <w:rPr>
          <w:rFonts w:hint="eastAsia"/>
          <w:lang w:val="en-US"/>
        </w:rPr>
        <w:t>（8）支持选择已配置好的应急预案，对资源进行快速调度和部署。</w:t>
      </w:r>
    </w:p>
    <w:p w14:paraId="75B7DD9F">
      <w:pPr>
        <w:ind w:firstLine="480"/>
        <w:rPr>
          <w:rFonts w:hint="eastAsia"/>
          <w:lang w:val="en-US"/>
        </w:rPr>
      </w:pPr>
      <w:r>
        <w:rPr>
          <w:rFonts w:hint="eastAsia"/>
          <w:lang w:val="en-US"/>
        </w:rPr>
        <w:t>（9）支持最优路径导航，可选择地图任意位置，实现所选位置到火场的最优路径计算并高亮显示，同时辅以文字导航说明。</w:t>
      </w:r>
    </w:p>
    <w:p w14:paraId="75B7DDA0">
      <w:pPr>
        <w:ind w:firstLine="480"/>
        <w:rPr>
          <w:rFonts w:hint="eastAsia"/>
          <w:lang w:val="en-US"/>
        </w:rPr>
      </w:pPr>
      <w:r>
        <w:rPr>
          <w:rFonts w:hint="eastAsia"/>
          <w:lang w:val="en-US"/>
        </w:rPr>
        <w:t>（二）调度任务管理</w:t>
      </w:r>
    </w:p>
    <w:p w14:paraId="75B7DDA1">
      <w:pPr>
        <w:ind w:firstLine="480"/>
        <w:rPr>
          <w:rFonts w:hint="eastAsia"/>
          <w:lang w:val="en-US"/>
        </w:rPr>
      </w:pPr>
      <w:r>
        <w:rPr>
          <w:rFonts w:hint="eastAsia"/>
          <w:lang w:val="en-US"/>
        </w:rPr>
        <w:t>通过指挥调度功能，可快速将现场应急处置人员上报的各类信息进行分析展示，动态更新现场火势态势，并根据应急指挥工作可在任意环节与现场应急处置人员进行语音、任务调度、任务安排等相关操作，基于应急指挥实现现场信息的采集以及汇总，系统支持文本信息、图片信息、视频信息等相关信息的上报与展示。</w:t>
      </w:r>
    </w:p>
    <w:p w14:paraId="75B7DDA2">
      <w:pPr>
        <w:ind w:firstLine="480"/>
        <w:rPr>
          <w:rFonts w:hint="eastAsia"/>
          <w:lang w:val="en-US"/>
        </w:rPr>
      </w:pPr>
      <w:r>
        <w:rPr>
          <w:rFonts w:hint="eastAsia"/>
          <w:lang w:val="en-US"/>
        </w:rPr>
        <w:t>任务管理：处置员通过系统进行任务编制、任务下发、任务接收与反馈、任务跟踪等任务管理功能。</w:t>
      </w:r>
    </w:p>
    <w:p w14:paraId="75B7DDA3">
      <w:pPr>
        <w:ind w:firstLine="480"/>
        <w:rPr>
          <w:rFonts w:hint="eastAsia"/>
          <w:lang w:val="en-US"/>
        </w:rPr>
      </w:pPr>
      <w:r>
        <w:rPr>
          <w:rFonts w:hint="eastAsia"/>
          <w:lang w:val="en-US"/>
        </w:rPr>
        <w:t>处置跟踪：对处置过程中现场大量繁杂信息进行跟踪管理。</w:t>
      </w:r>
    </w:p>
    <w:p w14:paraId="75B7DDA4">
      <w:pPr>
        <w:ind w:firstLine="480"/>
        <w:rPr>
          <w:rFonts w:hint="eastAsia"/>
          <w:lang w:val="en-US"/>
        </w:rPr>
      </w:pPr>
      <w:r>
        <w:rPr>
          <w:rFonts w:hint="eastAsia"/>
          <w:lang w:val="en-US"/>
        </w:rPr>
        <w:t>火场侦查：平台具备火场侦查功能，可集成多种类型的无人机实现火场侦查，通过火场侦查功能，可自定义火场侦查任务、侦查路线等信息，并可定义侦查时间，通过无人机配备的各类设备实现对火场信息的获取以及回传，通过系统可对火场侦查任务详情信息进行查看，动态掌握火场综合状况。</w:t>
      </w:r>
    </w:p>
    <w:p w14:paraId="75B7DDA5">
      <w:pPr>
        <w:ind w:firstLine="480"/>
        <w:rPr>
          <w:rFonts w:hint="eastAsia"/>
          <w:lang w:val="en-US"/>
        </w:rPr>
      </w:pPr>
      <w:r>
        <w:rPr>
          <w:rFonts w:hint="eastAsia"/>
          <w:lang w:val="en-US"/>
        </w:rPr>
        <w:t>平台聚焦 “指挥调度” 核心，整合调度分析管理与调度任务管理功能：调度分析管理支持应急预案维护、火势蔓延动态预测、周边情况智能分析及灭火方案标绘，通过 GIS 实现分析态势可视化；调度任务管理涵盖火场侦查任务生成、救援资源配置下发、任务跟踪与状态更新、现场信息采集汇总及闭环归档，结合 GIS 展示任务态势，形成 “分析 - 决策 - 执行 - 跟踪” 的指挥调度闭环。</w:t>
      </w:r>
    </w:p>
    <w:p w14:paraId="75B7DDA6">
      <w:pPr>
        <w:ind w:firstLine="480"/>
        <w:rPr>
          <w:rFonts w:hint="eastAsia"/>
          <w:lang w:val="en-US"/>
        </w:rPr>
      </w:pPr>
      <w:r>
        <w:rPr>
          <w:rFonts w:hint="eastAsia"/>
          <w:lang w:val="en-US"/>
        </w:rPr>
        <w:t>八、灾后评估</w:t>
      </w:r>
    </w:p>
    <w:p w14:paraId="75B7DDA7">
      <w:pPr>
        <w:ind w:firstLine="480"/>
        <w:rPr>
          <w:rFonts w:hint="eastAsia"/>
          <w:lang w:val="en-US"/>
        </w:rPr>
      </w:pPr>
      <w:r>
        <w:rPr>
          <w:rFonts w:hint="eastAsia"/>
          <w:lang w:val="en-US"/>
        </w:rPr>
        <w:t>各种统计数据得到火场范围、过火面积等数据，结合森林资源基础数据和火灾扑救情况，对森林火灾前后资源环境的变化、火灾造成的各种损失进行综合评价，得出森林火灾评估结果。</w:t>
      </w:r>
    </w:p>
    <w:p w14:paraId="75B7DDA8">
      <w:pPr>
        <w:ind w:firstLine="480"/>
        <w:rPr>
          <w:rFonts w:hint="eastAsia"/>
          <w:lang w:val="en-US"/>
        </w:rPr>
      </w:pPr>
      <w:r>
        <w:rPr>
          <w:rFonts w:hint="eastAsia"/>
          <w:lang w:val="en-US"/>
        </w:rPr>
        <w:t>通过建立直接损失评估模型和间接损失评估模型对火灾造成的损失进行有价值评估。支持对灾后评估结果以word报告的形式导出。</w:t>
      </w:r>
    </w:p>
    <w:p w14:paraId="75B7DDA9">
      <w:pPr>
        <w:ind w:firstLine="480"/>
        <w:rPr>
          <w:rFonts w:hint="eastAsia"/>
          <w:lang w:val="en-US"/>
        </w:rPr>
      </w:pPr>
      <w:r>
        <w:rPr>
          <w:rFonts w:hint="eastAsia"/>
          <w:lang w:val="en-US"/>
        </w:rPr>
        <w:t>平台聚焦 “灾后评估” 核心，整合森林火灾评估结果、直接损失评估模型、间接损失评估模型三大模块：支持过火面积精准测算、植被损失等级评估、碳汇与经济损失综合估算，通过直接损失模型核算林木资源与设施设备损失，间接损失模型评估生态服务功能、区域经济及社会民生影响；具备评估指标规则配置、报告自动生成功能，结合 GIS 实现评估结果与损失分布可视化，形成全维度灾后损失评估体系。</w:t>
      </w:r>
    </w:p>
    <w:p w14:paraId="75B7DDAA">
      <w:pPr>
        <w:ind w:firstLine="480"/>
        <w:rPr>
          <w:rFonts w:hint="eastAsia"/>
          <w:lang w:val="en-US"/>
        </w:rPr>
      </w:pPr>
      <w:r>
        <w:rPr>
          <w:rFonts w:hint="eastAsia"/>
          <w:lang w:val="en-US"/>
        </w:rPr>
        <w:t>九、任务巡查</w:t>
      </w:r>
    </w:p>
    <w:p w14:paraId="75B7DDAB">
      <w:pPr>
        <w:ind w:firstLine="480"/>
        <w:rPr>
          <w:rFonts w:hint="eastAsia"/>
          <w:lang w:val="en-US"/>
        </w:rPr>
      </w:pPr>
      <w:r>
        <w:rPr>
          <w:rFonts w:hint="eastAsia"/>
          <w:lang w:val="en-US"/>
        </w:rPr>
        <w:t>（一）巡护任务管理</w:t>
      </w:r>
    </w:p>
    <w:p w14:paraId="75B7DDAC">
      <w:pPr>
        <w:ind w:firstLine="480"/>
        <w:rPr>
          <w:rFonts w:hint="eastAsia"/>
          <w:lang w:val="en-US"/>
        </w:rPr>
      </w:pPr>
      <w:r>
        <w:rPr>
          <w:rFonts w:hint="eastAsia"/>
          <w:lang w:val="en-US"/>
        </w:rPr>
        <w:t>通过平台可对林草日常巡护任务进行管理，根据日常管理要求可设置巡护任务，可配置巡护任务执行时间、巡护任务内容等信息，系统自动根据设置巡护任务展示巡护任务所采集的相关数据，可通过巡护任务类型、巡护任务时间、巡护任务名称等多种方式对巡护任务进行统计管理。</w:t>
      </w:r>
    </w:p>
    <w:p w14:paraId="75B7DDAD">
      <w:pPr>
        <w:ind w:firstLine="480"/>
        <w:rPr>
          <w:rFonts w:hint="eastAsia"/>
          <w:lang w:val="en-US"/>
        </w:rPr>
      </w:pPr>
      <w:r>
        <w:rPr>
          <w:rFonts w:hint="eastAsia"/>
          <w:lang w:val="en-US"/>
        </w:rPr>
        <w:t>1.无人机巡护任务管理</w:t>
      </w:r>
    </w:p>
    <w:p w14:paraId="75B7DDAE">
      <w:pPr>
        <w:ind w:firstLine="480"/>
        <w:rPr>
          <w:rFonts w:hint="eastAsia"/>
          <w:lang w:val="en-US"/>
        </w:rPr>
      </w:pPr>
      <w:r>
        <w:rPr>
          <w:rFonts w:hint="eastAsia"/>
          <w:lang w:val="en-US"/>
        </w:rPr>
        <w:t>平台可对无人机设置巡护任务，可配置无人机巡护任务轨迹，动态采集巡护任务过程数据，包括视频信息、照片信息等，并可制定无人机巡护时间点，通过平台完成无人机巡护任务的制定后，无人机将根据设置的巡护任务要求开展无人机巡护任务，可对历史巡护任务进行查询与管理，并对巡护任务结果进行动态跟踪。</w:t>
      </w:r>
    </w:p>
    <w:p w14:paraId="75B7DDAF">
      <w:pPr>
        <w:ind w:firstLine="480"/>
        <w:rPr>
          <w:rFonts w:hint="eastAsia"/>
          <w:lang w:val="en-US"/>
        </w:rPr>
      </w:pPr>
      <w:r>
        <w:rPr>
          <w:rFonts w:hint="eastAsia"/>
          <w:lang w:val="en-US"/>
        </w:rPr>
        <w:t>2.人工巡护任务管理</w:t>
      </w:r>
    </w:p>
    <w:p w14:paraId="75B7DDB0">
      <w:pPr>
        <w:ind w:firstLine="480"/>
        <w:rPr>
          <w:rFonts w:hint="eastAsia"/>
          <w:lang w:val="en-US"/>
        </w:rPr>
      </w:pPr>
      <w:r>
        <w:rPr>
          <w:rFonts w:hint="eastAsia"/>
          <w:lang w:val="en-US"/>
        </w:rPr>
        <w:t>根据森林防火日常工作需求，可配置人工巡护任务，通过平台可设置人工巡护主要内容信息，并可按区域、林场、巡护员等方式派发巡护任务，相关人员根据派发的巡护任务开展森林防火日常巡护监督工作，可按照巡护任务名称、巡护人员、区域范围等方式查询人工巡护任务信息。</w:t>
      </w:r>
    </w:p>
    <w:p w14:paraId="75B7DDB1">
      <w:pPr>
        <w:ind w:firstLine="480"/>
        <w:rPr>
          <w:rFonts w:hint="eastAsia"/>
          <w:lang w:val="en-US"/>
        </w:rPr>
      </w:pPr>
      <w:r>
        <w:rPr>
          <w:rFonts w:hint="eastAsia"/>
          <w:lang w:val="en-US"/>
        </w:rPr>
        <w:t>（二）巡护信息展示</w:t>
      </w:r>
    </w:p>
    <w:p w14:paraId="75B7DDB2">
      <w:pPr>
        <w:ind w:firstLine="480"/>
        <w:rPr>
          <w:rFonts w:hint="eastAsia"/>
          <w:lang w:val="en-US"/>
        </w:rPr>
      </w:pPr>
      <w:r>
        <w:rPr>
          <w:rFonts w:hint="eastAsia"/>
          <w:lang w:val="en-US"/>
        </w:rPr>
        <w:t>平台对各类巡护任务信息进行动态获取，根据设置的巡护任务主要内容进行信息展示，可通过图表、图形等多种方式展示无人机巡护、人工巡护采集的各类任务信息，可跟踪制定的每一个巡护任务的进展动态，全方位展示巡护任务情况，提升森林防火日常巡护任务工作成果。</w:t>
      </w:r>
    </w:p>
    <w:p w14:paraId="75B7DDB3">
      <w:pPr>
        <w:ind w:firstLine="480"/>
        <w:rPr>
          <w:rFonts w:hint="eastAsia"/>
          <w:lang w:val="en-US"/>
        </w:rPr>
      </w:pPr>
      <w:r>
        <w:rPr>
          <w:rFonts w:hint="eastAsia"/>
          <w:lang w:val="en-US"/>
        </w:rPr>
        <w:t>（三）巡护信息上报</w:t>
      </w:r>
    </w:p>
    <w:p w14:paraId="75B7DDB4">
      <w:pPr>
        <w:ind w:firstLine="480"/>
        <w:rPr>
          <w:rFonts w:hint="eastAsia"/>
          <w:lang w:val="en-US"/>
        </w:rPr>
      </w:pPr>
      <w:r>
        <w:rPr>
          <w:rFonts w:hint="eastAsia"/>
          <w:lang w:val="en-US"/>
        </w:rPr>
        <w:t>系统为巡护人员提供信息上报功能，巡护人员可通过PC端平台或者移动端系统对日常巡护任务过程信息进行上报，支持文本信息、视频数据、照片的实时上报，中心端平台实时同步巡护人员上报的各类信息，动态了解巡护任务进展情况。</w:t>
      </w:r>
    </w:p>
    <w:p w14:paraId="75B7DDB5">
      <w:pPr>
        <w:ind w:firstLine="480"/>
        <w:rPr>
          <w:rFonts w:hint="eastAsia"/>
          <w:lang w:val="en-US"/>
        </w:rPr>
      </w:pPr>
      <w:r>
        <w:rPr>
          <w:rFonts w:hint="eastAsia"/>
          <w:lang w:val="en-US"/>
        </w:rPr>
        <w:t>（四）隐患排查管理</w:t>
      </w:r>
    </w:p>
    <w:p w14:paraId="75B7DDB6">
      <w:pPr>
        <w:ind w:firstLine="480"/>
        <w:rPr>
          <w:rFonts w:hint="eastAsia"/>
          <w:lang w:val="en-US"/>
        </w:rPr>
      </w:pPr>
      <w:r>
        <w:rPr>
          <w:rFonts w:hint="eastAsia"/>
          <w:lang w:val="en-US"/>
        </w:rPr>
        <w:t>系统为用户提供森林防火隐患排查管理功能，系统根据森林防火日常管理要求对各级责任单位管理工作存在的风险隐患信息进行采集，根据检查人员发现的各类风险信息进行填报，将各级责任单位的风险问题进行集中管理，并对存在的风险隐患信息进行限期整改，系统根据整改要求对相关风险隐患整改工作进行过程跟踪，可对各级责任单位存在的隐患风险信息进行查询与统计，支持按照隐患信息、整改内容、整改进度、责任单位等方式查询统计存在的隐患信息，全面提高各级责任单位日常管理功能能力，降低发生森林火情的风险。隐患排查内容主要包括责任落实情况、扑火队伍建立情况、扑火物质情况、护林员到岗情况、重点区域防控布置落实情况、“五清”清理情况、防火宣传和野外火源管理落实情况、防火值班制度等内容。</w:t>
      </w:r>
    </w:p>
    <w:p w14:paraId="75B7DDB7">
      <w:pPr>
        <w:ind w:firstLine="480"/>
        <w:rPr>
          <w:rFonts w:hint="eastAsia"/>
          <w:lang w:val="en-US"/>
        </w:rPr>
      </w:pPr>
      <w:r>
        <w:rPr>
          <w:rFonts w:hint="eastAsia"/>
          <w:lang w:val="en-US"/>
        </w:rPr>
        <w:t>（五）隐患信息上报</w:t>
      </w:r>
    </w:p>
    <w:p w14:paraId="75B7DDB8">
      <w:pPr>
        <w:ind w:firstLine="480"/>
        <w:rPr>
          <w:rFonts w:hint="eastAsia"/>
          <w:lang w:val="en-US"/>
        </w:rPr>
      </w:pPr>
      <w:r>
        <w:rPr>
          <w:rFonts w:hint="eastAsia"/>
          <w:lang w:val="en-US"/>
        </w:rPr>
        <w:t>巡查人员通过移动端系统可对被检查单位的风险隐患信息进行上报，通过文本、照片、视频等方式上报各级责任单位存在的风险隐患信息，中心端平台同步对接现场上报的隐患信息，并根据责任单位形成风险隐患问题情况，实现对责任单位存在的风险隐患信息监督管理。</w:t>
      </w:r>
    </w:p>
    <w:p w14:paraId="75B7DDB9">
      <w:pPr>
        <w:ind w:firstLine="480"/>
        <w:rPr>
          <w:rFonts w:hint="eastAsia"/>
          <w:lang w:val="en-US"/>
        </w:rPr>
      </w:pPr>
      <w:r>
        <w:rPr>
          <w:rFonts w:hint="eastAsia"/>
          <w:lang w:val="en-US"/>
        </w:rPr>
        <w:t>（六）隐患排查整改</w:t>
      </w:r>
    </w:p>
    <w:p w14:paraId="75B7DDBA">
      <w:pPr>
        <w:ind w:firstLine="480"/>
        <w:rPr>
          <w:rFonts w:hint="eastAsia"/>
          <w:lang w:val="en-US"/>
        </w:rPr>
      </w:pPr>
      <w:r>
        <w:rPr>
          <w:rFonts w:hint="eastAsia"/>
          <w:lang w:val="en-US"/>
        </w:rPr>
        <w:t>根据隐患排查整改功能可查看各级责任单位的隐患问题详情，实现各级责任单位隐患问题清单信息的展示，包括检查分类、检查时间、检查地点，自动关联检查人、检查人部门等。通过系统可对存在风险隐患的责任单位下达隐患问题治理任务，实现从隐患排查任务的下达、被指定人员的整改过程信息、上报信息、整改结果的全过程跟踪，全面落实解决各级责任单位存在的风险隐患，根据各级责任单位隐患整改情况进行二次复查，全面提升森林火险的日常防控能力。</w:t>
      </w:r>
    </w:p>
    <w:p w14:paraId="75B7DDBB">
      <w:pPr>
        <w:ind w:firstLine="480"/>
        <w:rPr>
          <w:rFonts w:hint="eastAsia"/>
          <w:lang w:val="en-US"/>
        </w:rPr>
      </w:pPr>
      <w:r>
        <w:rPr>
          <w:rFonts w:hint="eastAsia"/>
          <w:lang w:val="en-US"/>
        </w:rPr>
        <w:t>平台围绕 “任务巡查” 核心，整合巡护与隐患排查全流程管理功能：巡护任务管理支持规则配置、自动派单、完成率统计及 GIS 态势展示，巡护信息实现数据整合、异常上报与审核流转；隐患排查涵盖任务生成、等级判定、信息上报（完整性校验与告警）及整改跟踪（任务派单、进度更新、GIS 整改态势展示），形成巡护与隐患管理的闭环体系。</w:t>
      </w:r>
    </w:p>
    <w:p w14:paraId="75B7DDBC">
      <w:pPr>
        <w:ind w:firstLine="480"/>
        <w:rPr>
          <w:rFonts w:hint="eastAsia"/>
          <w:lang w:val="en-US"/>
        </w:rPr>
      </w:pPr>
      <w:r>
        <w:rPr>
          <w:rFonts w:hint="eastAsia"/>
          <w:lang w:val="en-US"/>
        </w:rPr>
        <w:t>十、资源管理</w:t>
      </w:r>
    </w:p>
    <w:p w14:paraId="75B7DDBD">
      <w:pPr>
        <w:ind w:firstLine="480"/>
        <w:rPr>
          <w:rFonts w:hint="eastAsia"/>
          <w:lang w:val="en-US"/>
        </w:rPr>
      </w:pPr>
      <w:r>
        <w:rPr>
          <w:rFonts w:hint="eastAsia"/>
          <w:lang w:val="en-US"/>
        </w:rPr>
        <w:t>（一）防火资源展示</w:t>
      </w:r>
    </w:p>
    <w:p w14:paraId="75B7DDBE">
      <w:pPr>
        <w:ind w:firstLine="480"/>
        <w:rPr>
          <w:rFonts w:hint="eastAsia"/>
          <w:lang w:val="en-US"/>
        </w:rPr>
      </w:pPr>
      <w:r>
        <w:rPr>
          <w:rFonts w:hint="eastAsia"/>
          <w:lang w:val="en-US"/>
        </w:rPr>
        <w:t>建立森林防火资源展示一张图，基于GIS地图展示区域范围内防火物质的分布，通过不同的图标以及对应的经纬度信息对所有防火物质进行展示，可按行政区域、防火物质类别、距离等维度对防火物质信息的统计查询，快速定位防火物质的存放地点，并查看定位防火物质的详细信息。主要包括林场信息、水源地信息、降机点信息、气象站信息、防火检查站信息、扑火队信息、隔离带信息、人员信息、瞭望塔信息、视频点位信息、敏感目标等。</w:t>
      </w:r>
    </w:p>
    <w:p w14:paraId="75B7DDBF">
      <w:pPr>
        <w:ind w:firstLine="480"/>
        <w:rPr>
          <w:rFonts w:hint="eastAsia"/>
          <w:lang w:val="en-US"/>
        </w:rPr>
      </w:pPr>
      <w:r>
        <w:rPr>
          <w:rFonts w:hint="eastAsia"/>
          <w:lang w:val="en-US"/>
        </w:rPr>
        <w:t>（二）防火资源维护</w:t>
      </w:r>
    </w:p>
    <w:p w14:paraId="75B7DDC0">
      <w:pPr>
        <w:ind w:firstLine="480"/>
        <w:rPr>
          <w:rFonts w:hint="eastAsia"/>
          <w:lang w:val="en-US"/>
        </w:rPr>
      </w:pPr>
      <w:r>
        <w:rPr>
          <w:rFonts w:hint="eastAsia"/>
          <w:lang w:val="en-US"/>
        </w:rPr>
        <w:t>系统提供防火资源维护管理功能，通过平台可对防火资源信息进行日常维护，可实现各类防火资源的新增、修改、删除等操作，实现森林防火资源的动态更新。</w:t>
      </w:r>
    </w:p>
    <w:p w14:paraId="75B7DDC1">
      <w:pPr>
        <w:ind w:firstLine="480"/>
        <w:rPr>
          <w:rFonts w:hint="eastAsia"/>
          <w:lang w:val="en-US"/>
        </w:rPr>
      </w:pPr>
      <w:r>
        <w:rPr>
          <w:rFonts w:hint="eastAsia"/>
          <w:lang w:val="en-US"/>
        </w:rPr>
        <w:t>（三）查询统计</w:t>
      </w:r>
    </w:p>
    <w:p w14:paraId="75B7DDC2">
      <w:pPr>
        <w:ind w:firstLine="480"/>
        <w:rPr>
          <w:rFonts w:hint="eastAsia"/>
          <w:lang w:val="en-US"/>
        </w:rPr>
      </w:pPr>
      <w:r>
        <w:rPr>
          <w:rFonts w:hint="eastAsia"/>
          <w:lang w:val="en-US"/>
        </w:rPr>
        <w:t>可对森林防火物质信息进行统计查询，实现各类物质信息的查询汇总，支持按照防火资源名称、资源类别、区域、数量、责任单位等方式进行信息检索，并以列表的形式对查询结果进行展示。</w:t>
      </w:r>
    </w:p>
    <w:p w14:paraId="75B7DDC3">
      <w:pPr>
        <w:ind w:firstLine="480"/>
        <w:rPr>
          <w:rFonts w:hint="eastAsia"/>
          <w:lang w:val="en-US"/>
        </w:rPr>
      </w:pPr>
      <w:r>
        <w:rPr>
          <w:rFonts w:hint="eastAsia"/>
          <w:lang w:val="en-US"/>
        </w:rPr>
        <w:t>平台围绕 “资源管理” 核心，整合防火资源展示、维护与查询统计功能：防火资源展示支持数据整合清洗、GIS 空间关联渲染及多条件筛选查询，实现资源状态实时可视化；防火资源维护涵盖台账管理、维护计划自动生成、状态自动更新与故障处置建议，结合 GIS 展示维护态势；查询统计模块提供多维度指标计算、趋势分析及标准化报表生成，通过 GIS 实现统计结果可视化，形成 “展示 - 维护 - 分析” 的全流程资源管理体系。</w:t>
      </w:r>
    </w:p>
    <w:p w14:paraId="75B7DDC4">
      <w:pPr>
        <w:ind w:firstLine="480"/>
        <w:rPr>
          <w:rFonts w:hint="eastAsia"/>
          <w:lang w:val="en-US"/>
        </w:rPr>
      </w:pPr>
      <w:r>
        <w:rPr>
          <w:rFonts w:hint="eastAsia"/>
          <w:lang w:val="en-US"/>
        </w:rPr>
        <w:t>十一、配置管理</w:t>
      </w:r>
    </w:p>
    <w:p w14:paraId="75B7DDC5">
      <w:pPr>
        <w:ind w:firstLine="480"/>
        <w:rPr>
          <w:rFonts w:hint="eastAsia"/>
          <w:lang w:val="en-US"/>
        </w:rPr>
      </w:pPr>
      <w:r>
        <w:rPr>
          <w:rFonts w:hint="eastAsia"/>
          <w:lang w:val="en-US"/>
        </w:rPr>
        <w:t>（一）规则配置</w:t>
      </w:r>
    </w:p>
    <w:p w14:paraId="75B7DDC6">
      <w:pPr>
        <w:ind w:firstLine="480"/>
        <w:rPr>
          <w:rFonts w:hint="eastAsia"/>
          <w:lang w:val="en-US"/>
        </w:rPr>
      </w:pPr>
      <w:r>
        <w:rPr>
          <w:rFonts w:hint="eastAsia"/>
          <w:lang w:val="en-US"/>
        </w:rPr>
        <w:t>系统为用户提供平台规则配置功能，通过规则配置可对所有预警规则进行自定义配置，系统将根据配置的规则实现各类信息的预警以及监管。</w:t>
      </w:r>
    </w:p>
    <w:p w14:paraId="75B7DDC7">
      <w:pPr>
        <w:ind w:firstLine="480"/>
        <w:rPr>
          <w:rFonts w:hint="eastAsia"/>
          <w:lang w:val="en-US"/>
        </w:rPr>
      </w:pPr>
      <w:r>
        <w:rPr>
          <w:rFonts w:hint="eastAsia"/>
          <w:lang w:val="en-US"/>
        </w:rPr>
        <w:t>（二）算法配置</w:t>
      </w:r>
    </w:p>
    <w:p w14:paraId="75B7DDC8">
      <w:pPr>
        <w:ind w:firstLine="480"/>
        <w:rPr>
          <w:rFonts w:hint="eastAsia"/>
          <w:lang w:val="en-US"/>
        </w:rPr>
      </w:pPr>
      <w:r>
        <w:rPr>
          <w:rFonts w:hint="eastAsia"/>
          <w:lang w:val="en-US"/>
        </w:rPr>
        <w:t>支持将算法配置到指定摄像头的通道或预置位，可在视频画面上绘制监控区域。支持用户自定义在摄像机上配置算法，指定在固定的监控区域内加载算法，算法可以配置在预置位置，也可以配置在通道上。摄像机制定了位置加载算法生成以后，算法可在该监控区域内进行分析、识别，从而产生告警信息。</w:t>
      </w:r>
    </w:p>
    <w:p w14:paraId="75B7DDC9">
      <w:pPr>
        <w:ind w:firstLine="480"/>
        <w:rPr>
          <w:rFonts w:hint="eastAsia"/>
          <w:lang w:val="en-US"/>
        </w:rPr>
      </w:pPr>
      <w:r>
        <w:rPr>
          <w:rFonts w:hint="eastAsia"/>
          <w:lang w:val="en-US"/>
        </w:rPr>
        <w:t>（三）流程配置</w:t>
      </w:r>
    </w:p>
    <w:p w14:paraId="75B7DDCA">
      <w:pPr>
        <w:ind w:firstLine="480"/>
        <w:rPr>
          <w:rFonts w:hint="eastAsia"/>
          <w:lang w:val="en-US"/>
        </w:rPr>
      </w:pPr>
      <w:r>
        <w:rPr>
          <w:rFonts w:hint="eastAsia"/>
          <w:lang w:val="en-US"/>
        </w:rPr>
        <w:t>可配置平台所有工作流程，根据森林防火工作需求，管理人员可根据实际日常工作流程对各环节流程节点进行人员信息、内容信息的配置，灵活制定日常工作流程，全面提升森林防火日常监管工作信息化水平。</w:t>
      </w:r>
    </w:p>
    <w:p w14:paraId="75B7DDCB">
      <w:pPr>
        <w:ind w:firstLine="480"/>
        <w:rPr>
          <w:rFonts w:hint="eastAsia"/>
          <w:lang w:val="en-US"/>
        </w:rPr>
      </w:pPr>
      <w:r>
        <w:rPr>
          <w:rFonts w:hint="eastAsia"/>
          <w:lang w:val="en-US"/>
        </w:rPr>
        <w:t>十二、系统管理</w:t>
      </w:r>
    </w:p>
    <w:p w14:paraId="75B7DDCC">
      <w:pPr>
        <w:ind w:firstLine="480"/>
        <w:rPr>
          <w:rFonts w:hint="eastAsia"/>
          <w:lang w:val="en-US"/>
        </w:rPr>
      </w:pPr>
      <w:r>
        <w:rPr>
          <w:rFonts w:hint="eastAsia"/>
          <w:lang w:val="en-US"/>
        </w:rPr>
        <w:t>组织管理：可对组织机构信息进行维护管理，包括对组织机构的添加、修改、删除。</w:t>
      </w:r>
    </w:p>
    <w:p w14:paraId="75B7DDCD">
      <w:pPr>
        <w:ind w:firstLine="480"/>
        <w:rPr>
          <w:rFonts w:hint="eastAsia"/>
          <w:lang w:val="en-US"/>
        </w:rPr>
      </w:pPr>
      <w:r>
        <w:rPr>
          <w:rFonts w:hint="eastAsia"/>
          <w:lang w:val="en-US"/>
        </w:rPr>
        <w:t>用户管理：可对用户信息进行维护管理，可对用户信息进行添加、修改、删除等操作。</w:t>
      </w:r>
    </w:p>
    <w:p w14:paraId="75B7DDCE">
      <w:pPr>
        <w:ind w:firstLine="480"/>
        <w:rPr>
          <w:rFonts w:hint="eastAsia"/>
          <w:lang w:val="en-US"/>
        </w:rPr>
      </w:pPr>
      <w:r>
        <w:rPr>
          <w:rFonts w:hint="eastAsia"/>
          <w:lang w:val="en-US"/>
        </w:rPr>
        <w:t>角色管理：为各级用户配置用户角色，根据不同的用户角色实现各环节业务的开展以及功能的应用。</w:t>
      </w:r>
    </w:p>
    <w:p w14:paraId="75B7DDCF">
      <w:pPr>
        <w:ind w:firstLine="480"/>
        <w:rPr>
          <w:rFonts w:hint="eastAsia"/>
          <w:lang w:val="en-US"/>
        </w:rPr>
      </w:pPr>
      <w:r>
        <w:rPr>
          <w:rFonts w:hint="eastAsia"/>
          <w:lang w:val="en-US"/>
        </w:rPr>
        <w:t>网格化管理：</w:t>
      </w:r>
    </w:p>
    <w:p w14:paraId="75B7DDD0">
      <w:pPr>
        <w:ind w:firstLine="480"/>
        <w:rPr>
          <w:rFonts w:hint="eastAsia"/>
          <w:lang w:val="en-US"/>
        </w:rPr>
      </w:pPr>
      <w:r>
        <w:rPr>
          <w:rFonts w:hint="eastAsia"/>
          <w:lang w:val="en-US"/>
        </w:rPr>
        <w:t>网格管理支持标绘及管理网格，支持网格查看、编辑、删除、新增子级、新增同级、标绘、取消标绘、导入、导出等。</w:t>
      </w:r>
    </w:p>
    <w:p w14:paraId="75B7DDD1">
      <w:pPr>
        <w:ind w:firstLine="480"/>
        <w:rPr>
          <w:rFonts w:hint="eastAsia"/>
          <w:lang w:val="en-US"/>
        </w:rPr>
      </w:pPr>
      <w:r>
        <w:rPr>
          <w:rFonts w:hint="eastAsia"/>
          <w:lang w:val="en-US"/>
        </w:rPr>
        <w:t>网格员管理为网格指定网格员，支持对网格员进行查看、新增、修改、查询等功能。</w:t>
      </w:r>
    </w:p>
    <w:p w14:paraId="75B7DDD2">
      <w:pPr>
        <w:ind w:firstLine="480"/>
        <w:rPr>
          <w:rFonts w:hint="eastAsia"/>
          <w:lang w:val="en-US"/>
        </w:rPr>
      </w:pPr>
      <w:r>
        <w:rPr>
          <w:rFonts w:hint="eastAsia"/>
          <w:lang w:val="en-US"/>
        </w:rPr>
        <w:t>十三、态势分析</w:t>
      </w:r>
    </w:p>
    <w:p w14:paraId="75B7DDD3">
      <w:pPr>
        <w:ind w:firstLine="480"/>
        <w:rPr>
          <w:rFonts w:hint="eastAsia"/>
          <w:lang w:val="en-US"/>
        </w:rPr>
      </w:pPr>
      <w:r>
        <w:rPr>
          <w:rFonts w:hint="eastAsia"/>
          <w:lang w:val="en-US"/>
        </w:rPr>
        <w:t>（一）信息总览</w:t>
      </w:r>
    </w:p>
    <w:p w14:paraId="75B7DDD4">
      <w:pPr>
        <w:ind w:firstLine="480"/>
        <w:rPr>
          <w:rFonts w:hint="eastAsia"/>
          <w:lang w:val="en-US"/>
        </w:rPr>
      </w:pPr>
      <w:r>
        <w:rPr>
          <w:rFonts w:hint="eastAsia"/>
          <w:lang w:val="en-US"/>
        </w:rPr>
        <w:t>通过可视化分析技术，基于数据中心对森林防火综合信息进行分析展示，围绕森林防火总体目标动态展示森林防火重点关注信息，包括天气、今日告警、摄像机监管、森林火险气象预警、巡查任务总览、告警日历，实现关键信息的动态更新，让管理者可以直观、便捷地了解森林防火工作现状以及重点管理信息，为领导的宏观决策提供信息化辅助决策。</w:t>
      </w:r>
    </w:p>
    <w:p w14:paraId="75B7DDD5">
      <w:pPr>
        <w:ind w:firstLine="480"/>
        <w:rPr>
          <w:rFonts w:hint="eastAsia"/>
          <w:lang w:val="en-US"/>
        </w:rPr>
      </w:pPr>
      <w:r>
        <w:rPr>
          <w:rFonts w:hint="eastAsia"/>
          <w:lang w:val="en-US"/>
        </w:rPr>
        <w:t>（二）监控预警分析</w:t>
      </w:r>
    </w:p>
    <w:p w14:paraId="75B7DDD6">
      <w:pPr>
        <w:ind w:firstLine="480"/>
        <w:rPr>
          <w:rFonts w:hint="eastAsia"/>
          <w:lang w:val="en-US"/>
        </w:rPr>
      </w:pPr>
      <w:r>
        <w:rPr>
          <w:rFonts w:hint="eastAsia"/>
          <w:lang w:val="en-US"/>
        </w:rPr>
        <w:t>针对森林防火监控预警信息进行专题分析，运用信息化手段对卫星遥感预警数据、视频监控预警数据、人工上报预警数据进行综合研判，动态展示监控预警态势，并根据预警数据分析林场防火管控重点区域，结合时间维度可实现一定时间周期的监控预警信息变化趋势分析，实现对森林防火重点预警区域、重点预警目标、重点预警指标的全方位分析展示，可清楚地掌握森林防火监控预警变化情况，为监控预警的布防与处置提供信息化辅助。</w:t>
      </w:r>
    </w:p>
    <w:p w14:paraId="75B7DDD7">
      <w:pPr>
        <w:ind w:firstLine="480"/>
        <w:rPr>
          <w:rFonts w:hint="eastAsia"/>
          <w:lang w:val="en-US"/>
        </w:rPr>
      </w:pPr>
      <w:r>
        <w:rPr>
          <w:rFonts w:hint="eastAsia"/>
          <w:lang w:val="en-US"/>
        </w:rPr>
        <w:t>（三）日常巡护分析</w:t>
      </w:r>
    </w:p>
    <w:p w14:paraId="75B7DDD8">
      <w:pPr>
        <w:ind w:firstLine="480"/>
        <w:rPr>
          <w:rFonts w:hint="eastAsia"/>
          <w:lang w:val="en-US"/>
        </w:rPr>
      </w:pPr>
      <w:r>
        <w:rPr>
          <w:rFonts w:hint="eastAsia"/>
          <w:lang w:val="en-US"/>
        </w:rPr>
        <w:t>对森林防火的巡护任务信息进行综合分析，根据制定的不同任务类型、任务内容、任务时间等维度分析巡护任务的完成状况，可对巡护全过程信息的分解展示以及相关信息的获取展示，可对巡检过程中发现的风险问题进行分类跟踪，全面掌握森林防火日常巡护、风险隐患信息的展示与处置，全面提升森林防火日常管理能力，动态展示森林防火日常工作成果。</w:t>
      </w:r>
    </w:p>
    <w:p w14:paraId="75B7DDD9">
      <w:pPr>
        <w:ind w:firstLine="480"/>
        <w:rPr>
          <w:rFonts w:hint="eastAsia"/>
          <w:lang w:val="en-US"/>
        </w:rPr>
      </w:pPr>
      <w:r>
        <w:rPr>
          <w:rFonts w:hint="eastAsia"/>
          <w:lang w:val="en-US"/>
        </w:rPr>
        <w:t>（四）重要指标分析</w:t>
      </w:r>
    </w:p>
    <w:p w14:paraId="75B7DDDA">
      <w:pPr>
        <w:ind w:firstLine="480"/>
        <w:rPr>
          <w:rFonts w:hint="eastAsia"/>
          <w:lang w:val="en-US"/>
        </w:rPr>
      </w:pPr>
      <w:r>
        <w:rPr>
          <w:rFonts w:hint="eastAsia"/>
          <w:lang w:val="en-US"/>
        </w:rPr>
        <w:t>对森林防火工作中的重要指标信息进行可视化分析与展示，并按照管理要求实现各类指标数据的汇总与分析，如巡护任务完成率、火情信息处置率、火情信息上报率、视频监控设备在线率等，通过对重要指标的分析，全面提升森林防火工作效率，为森林防火工作提供全面的数据支撑。</w:t>
      </w:r>
    </w:p>
    <w:p w14:paraId="75B7DDDB">
      <w:pPr>
        <w:ind w:firstLine="480"/>
        <w:rPr>
          <w:rFonts w:hint="eastAsia"/>
          <w:lang w:val="en-US"/>
        </w:rPr>
      </w:pPr>
      <w:r>
        <w:rPr>
          <w:rFonts w:hint="eastAsia"/>
          <w:lang w:val="en-US"/>
        </w:rPr>
        <w:t>平台 “态势分析” 模块整合信息总览、监控预警分析、日常巡护分析、重要指标分析功能，支持多源数据整合清洗与核心指标动态计算，通过监控预警综合研判（重点区域识别、趋势分析）、日常巡护多维度评估（完成状况与风险跟踪）及重要指标趋势对比（异常检测），实现总体态势、预警态势、巡护态势与核心指标的可视化集中展示，为决策提供全维度数据支撑。</w:t>
      </w:r>
    </w:p>
    <w:p w14:paraId="75B7DDDC">
      <w:pPr>
        <w:ind w:firstLine="480"/>
        <w:rPr>
          <w:rFonts w:hint="eastAsia"/>
          <w:lang w:val="en-US"/>
        </w:rPr>
      </w:pPr>
      <w:r>
        <w:rPr>
          <w:rFonts w:hint="eastAsia"/>
          <w:lang w:val="en-US"/>
        </w:rPr>
        <w:t>十四、统计分析</w:t>
      </w:r>
    </w:p>
    <w:p w14:paraId="75B7DDDD">
      <w:pPr>
        <w:ind w:firstLine="480"/>
        <w:rPr>
          <w:rFonts w:hint="eastAsia"/>
          <w:lang w:val="en-US"/>
        </w:rPr>
      </w:pPr>
      <w:r>
        <w:rPr>
          <w:rFonts w:hint="eastAsia"/>
          <w:lang w:val="en-US"/>
        </w:rPr>
        <w:t>（一）预警信息统计分析</w:t>
      </w:r>
    </w:p>
    <w:p w14:paraId="75B7DDDE">
      <w:pPr>
        <w:ind w:firstLine="480"/>
        <w:rPr>
          <w:rFonts w:hint="eastAsia"/>
          <w:lang w:val="en-US"/>
        </w:rPr>
      </w:pPr>
      <w:r>
        <w:rPr>
          <w:rFonts w:hint="eastAsia"/>
          <w:lang w:val="en-US"/>
        </w:rPr>
        <w:t>系统可对森林火险预警信息进行统计分析，并可按照行政区域、预警时间、预警类型等方式统计分析预警综合状况，并以表格、图表、折线图、柱图等多种方式展示预警的变化趋势。</w:t>
      </w:r>
    </w:p>
    <w:p w14:paraId="75B7DDDF">
      <w:pPr>
        <w:ind w:firstLine="480"/>
        <w:rPr>
          <w:rFonts w:hint="eastAsia"/>
          <w:lang w:val="en-US"/>
        </w:rPr>
      </w:pPr>
      <w:r>
        <w:rPr>
          <w:rFonts w:hint="eastAsia"/>
          <w:lang w:val="en-US"/>
        </w:rPr>
        <w:t>（二）巡检任务统计分析</w:t>
      </w:r>
    </w:p>
    <w:p w14:paraId="75B7DDE0">
      <w:pPr>
        <w:ind w:firstLine="480"/>
        <w:rPr>
          <w:rFonts w:hint="eastAsia"/>
          <w:lang w:val="en-US"/>
        </w:rPr>
      </w:pPr>
      <w:r>
        <w:rPr>
          <w:rFonts w:hint="eastAsia"/>
          <w:lang w:val="en-US"/>
        </w:rPr>
        <w:t>系统可对所有类型的巡检任务信息进行汇总，并按照巡检任务类型分类进行统计，可按任务名称、行政区域、时间、类型、任务完成情况等维度分别汇总巡检任务情况，并通过图表对统计分析结果进行展示。</w:t>
      </w:r>
    </w:p>
    <w:p w14:paraId="75B7DDE1">
      <w:pPr>
        <w:ind w:firstLine="480"/>
        <w:rPr>
          <w:rFonts w:hint="eastAsia"/>
          <w:lang w:val="en-US"/>
        </w:rPr>
      </w:pPr>
      <w:r>
        <w:rPr>
          <w:rFonts w:hint="eastAsia"/>
          <w:lang w:val="en-US"/>
        </w:rPr>
        <w:t>（三）预警处置信息统计</w:t>
      </w:r>
    </w:p>
    <w:p w14:paraId="75B7DDE2">
      <w:pPr>
        <w:ind w:firstLine="480"/>
        <w:rPr>
          <w:rFonts w:hint="eastAsia"/>
          <w:lang w:val="en-US"/>
        </w:rPr>
      </w:pPr>
      <w:r>
        <w:rPr>
          <w:rFonts w:hint="eastAsia"/>
          <w:lang w:val="en-US"/>
        </w:rPr>
        <w:t>系统对火情预警处置信息进行查询与统计，并按照处置结果、处置类型等信息分类查询统计，通过表格的形式对查询统计结果数据进行展示，可按照行政区域、预警类型、处置状态、处置人员等条件进行信息检索。</w:t>
      </w:r>
    </w:p>
    <w:p w14:paraId="75B7DDE3">
      <w:pPr>
        <w:ind w:firstLine="480"/>
        <w:rPr>
          <w:rFonts w:hint="eastAsia"/>
          <w:lang w:val="en-US"/>
        </w:rPr>
      </w:pPr>
      <w:r>
        <w:rPr>
          <w:rFonts w:hint="eastAsia"/>
          <w:lang w:val="en-US"/>
        </w:rPr>
        <w:t>（四）森林火灾信息统计</w:t>
      </w:r>
    </w:p>
    <w:p w14:paraId="75B7DDE4">
      <w:pPr>
        <w:ind w:firstLine="480"/>
        <w:rPr>
          <w:rFonts w:hint="eastAsia"/>
          <w:lang w:val="en-US"/>
        </w:rPr>
      </w:pPr>
      <w:r>
        <w:rPr>
          <w:rFonts w:hint="eastAsia"/>
          <w:lang w:val="en-US"/>
        </w:rPr>
        <w:t>对森林火灾事件信息进行全方位统计，并可对森林火灾相关信息进行匹配查询，系统提供多种信息查询统计条件，并用表格的形式对森林火灾信息统计结果进行展示，支持森林火灾信息的导出。</w:t>
      </w:r>
    </w:p>
    <w:p w14:paraId="75B7DDE5">
      <w:pPr>
        <w:ind w:firstLine="480"/>
        <w:rPr>
          <w:rFonts w:hint="eastAsia"/>
          <w:lang w:val="en-US"/>
        </w:rPr>
      </w:pPr>
      <w:r>
        <w:rPr>
          <w:rFonts w:hint="eastAsia"/>
          <w:lang w:val="en-US"/>
        </w:rPr>
        <w:t>平台 “统计分析” 模块整合预警信息、巡检任务、预警处置、森林火灾四大统计功能，支持多维度数据汇总计算（如预警趋势、任务完成度、处置分类、火灾事件全方位统计），具备统计维度与展示规则配置、多条件检索匹配及结果可视化（图表 / 表格）展示，实现预警、任务、处置、火灾信息的全流程统计分析与结果导出。</w:t>
      </w:r>
    </w:p>
    <w:p w14:paraId="75B7DDE6">
      <w:pPr>
        <w:ind w:firstLine="480"/>
        <w:rPr>
          <w:rFonts w:hint="eastAsia"/>
          <w:lang w:val="en-US"/>
        </w:rPr>
      </w:pPr>
      <w:r>
        <w:rPr>
          <w:rFonts w:hint="eastAsia"/>
          <w:lang w:val="en-US"/>
        </w:rPr>
        <w:t>十五、林区卡口</w:t>
      </w:r>
    </w:p>
    <w:p w14:paraId="75B7DDE7">
      <w:pPr>
        <w:ind w:firstLine="480"/>
        <w:rPr>
          <w:rFonts w:hint="eastAsia"/>
          <w:lang w:val="en-US"/>
        </w:rPr>
      </w:pPr>
      <w:r>
        <w:rPr>
          <w:rFonts w:hint="eastAsia"/>
          <w:lang w:val="en-US"/>
        </w:rPr>
        <w:t>（一）林区卡口管理</w:t>
      </w:r>
    </w:p>
    <w:p w14:paraId="75B7DDE8">
      <w:pPr>
        <w:ind w:firstLine="480"/>
        <w:rPr>
          <w:rFonts w:hint="eastAsia"/>
          <w:lang w:val="en-US"/>
        </w:rPr>
      </w:pPr>
      <w:r>
        <w:rPr>
          <w:rFonts w:hint="eastAsia"/>
          <w:lang w:val="en-US"/>
        </w:rPr>
        <w:t>系统支持林区卡口信息维护功能，支持林区卡口信息的新增、修改、删除及查询功能，以列表的形式展示卡口的内容。列表中展示卡口摄像机名称、摄像机编号、摄像机状态等信息。新增卡口信息时可以关联已经接入卡口视频。</w:t>
      </w:r>
    </w:p>
    <w:p w14:paraId="75B7DDE9">
      <w:pPr>
        <w:spacing w:line="240" w:lineRule="auto"/>
        <w:ind w:firstLine="0" w:firstLineChars="0"/>
        <w:rPr>
          <w:rFonts w:hint="eastAsia"/>
          <w:lang w:val="en-US"/>
        </w:rPr>
      </w:pPr>
      <w:r>
        <w:rPr>
          <w:lang w:val="en-US"/>
        </w:rPr>
        <w:drawing>
          <wp:inline distT="0" distB="0" distL="0" distR="0">
            <wp:extent cx="5274310" cy="1365250"/>
            <wp:effectExtent l="0" t="0" r="2540" b="6350"/>
            <wp:docPr id="146469960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699606" name="图片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5274310" cy="1365250"/>
                    </a:xfrm>
                    <a:prstGeom prst="rect">
                      <a:avLst/>
                    </a:prstGeom>
                    <a:noFill/>
                    <a:ln>
                      <a:noFill/>
                    </a:ln>
                  </pic:spPr>
                </pic:pic>
              </a:graphicData>
            </a:graphic>
          </wp:inline>
        </w:drawing>
      </w:r>
    </w:p>
    <w:p w14:paraId="75B7DDEA">
      <w:pPr>
        <w:ind w:firstLine="480"/>
        <w:rPr>
          <w:rFonts w:hint="eastAsia"/>
          <w:lang w:val="en-US"/>
        </w:rPr>
      </w:pPr>
      <w:r>
        <w:rPr>
          <w:rFonts w:hint="eastAsia"/>
          <w:lang w:val="en-US"/>
        </w:rPr>
        <w:t>系统支持林区卡口信息批量导出功能，支持将选择的卡口信息批量导入到excel文件中。</w:t>
      </w:r>
    </w:p>
    <w:p w14:paraId="75B7DDEB">
      <w:pPr>
        <w:ind w:firstLine="480"/>
        <w:rPr>
          <w:rFonts w:hint="eastAsia"/>
          <w:lang w:val="en-US"/>
        </w:rPr>
      </w:pPr>
      <w:r>
        <w:rPr>
          <w:rFonts w:hint="eastAsia"/>
          <w:lang w:val="en-US"/>
        </w:rPr>
        <w:t>（二）车辆进出记录</w:t>
      </w:r>
    </w:p>
    <w:p w14:paraId="75B7DDEC">
      <w:pPr>
        <w:ind w:firstLine="480"/>
        <w:rPr>
          <w:rFonts w:hint="eastAsia"/>
          <w:lang w:val="en-US"/>
        </w:rPr>
      </w:pPr>
      <w:r>
        <w:rPr>
          <w:rFonts w:hint="eastAsia"/>
          <w:lang w:val="en-US"/>
        </w:rPr>
        <w:t>系统支持林区卡口车辆自动识别功能，通过卡口的视频监控记录卡口车辆通行记录，并自动对车牌信息进行识别。识别后的信息记录到进出记录数据库中。</w:t>
      </w:r>
    </w:p>
    <w:p w14:paraId="75B7DDED">
      <w:pPr>
        <w:ind w:firstLine="480"/>
        <w:rPr>
          <w:rFonts w:hint="eastAsia"/>
          <w:lang w:val="en-US"/>
        </w:rPr>
      </w:pPr>
      <w:r>
        <w:rPr>
          <w:rFonts w:hint="eastAsia"/>
          <w:lang w:val="en-US"/>
        </w:rPr>
        <w:t>系统支持进出记录管理，可以按照车牌号码、车辆类型等多个字段进行车辆进出记录的检索。查询列表中展示车辆记录情况，展示内容包括车牌号码、车辆图片、类型等信息。同时支持进出记录批量导出功能。</w:t>
      </w:r>
    </w:p>
    <w:p w14:paraId="75B7DDEE">
      <w:pPr>
        <w:spacing w:line="240" w:lineRule="auto"/>
        <w:ind w:firstLine="0" w:firstLineChars="0"/>
        <w:rPr>
          <w:rFonts w:hint="eastAsia"/>
          <w:lang w:val="en-US"/>
        </w:rPr>
      </w:pPr>
      <w:r>
        <w:drawing>
          <wp:inline distT="0" distB="0" distL="114300" distR="114300">
            <wp:extent cx="5268595" cy="1416685"/>
            <wp:effectExtent l="0" t="0" r="1905" b="5715"/>
            <wp:docPr id="4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4"/>
                    <pic:cNvPicPr>
                      <a:picLocks noChangeAspect="1"/>
                    </pic:cNvPicPr>
                  </pic:nvPicPr>
                  <pic:blipFill>
                    <a:blip r:embed="rId39"/>
                    <a:stretch>
                      <a:fillRect/>
                    </a:stretch>
                  </pic:blipFill>
                  <pic:spPr>
                    <a:xfrm>
                      <a:off x="0" y="0"/>
                      <a:ext cx="5268595" cy="1416685"/>
                    </a:xfrm>
                    <a:prstGeom prst="rect">
                      <a:avLst/>
                    </a:prstGeom>
                    <a:noFill/>
                    <a:ln>
                      <a:noFill/>
                    </a:ln>
                  </pic:spPr>
                </pic:pic>
              </a:graphicData>
            </a:graphic>
          </wp:inline>
        </w:drawing>
      </w:r>
    </w:p>
    <w:p w14:paraId="75B7DDEF">
      <w:pPr>
        <w:ind w:firstLine="480"/>
        <w:rPr>
          <w:rFonts w:hint="eastAsia"/>
          <w:lang w:val="en-US"/>
        </w:rPr>
      </w:pPr>
      <w:r>
        <w:rPr>
          <w:rFonts w:hint="eastAsia"/>
          <w:lang w:val="en-US"/>
        </w:rPr>
        <w:t>（三）林区卡口综合展示</w:t>
      </w:r>
    </w:p>
    <w:p w14:paraId="75B7DDF0">
      <w:pPr>
        <w:ind w:firstLine="480"/>
        <w:rPr>
          <w:rFonts w:hint="eastAsia"/>
          <w:lang w:val="en-US"/>
        </w:rPr>
      </w:pPr>
      <w:r>
        <w:rPr>
          <w:rFonts w:hint="eastAsia"/>
          <w:lang w:val="en-US"/>
        </w:rPr>
        <w:t>林区卡口综合展示模块基于GIS地图，通过卡口摄像机提升林区出入口监控视角，拓宽林业治安防控面，对林区的各种突发事件能做到及时发现、及时预警、敏捷反应。支持林区车流分析、卡口分布情况、卡口实时视频、实时抓拍记录等相关应用。</w:t>
      </w:r>
    </w:p>
    <w:p w14:paraId="75B7DDF1">
      <w:pPr>
        <w:spacing w:line="240" w:lineRule="auto"/>
        <w:ind w:firstLine="0" w:firstLineChars="0"/>
        <w:rPr>
          <w:rFonts w:hint="eastAsia"/>
          <w:lang w:val="en-US"/>
        </w:rPr>
      </w:pPr>
      <w:r>
        <w:drawing>
          <wp:inline distT="0" distB="0" distL="0" distR="0">
            <wp:extent cx="5274310" cy="2242820"/>
            <wp:effectExtent l="0" t="0" r="2540" b="5080"/>
            <wp:docPr id="88619057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190577" name="图片 1"/>
                    <pic:cNvPicPr>
                      <a:picLocks noChangeAspect="1"/>
                    </pic:cNvPicPr>
                  </pic:nvPicPr>
                  <pic:blipFill>
                    <a:blip r:embed="rId40"/>
                    <a:stretch>
                      <a:fillRect/>
                    </a:stretch>
                  </pic:blipFill>
                  <pic:spPr>
                    <a:xfrm>
                      <a:off x="0" y="0"/>
                      <a:ext cx="5274310" cy="2242820"/>
                    </a:xfrm>
                    <a:prstGeom prst="rect">
                      <a:avLst/>
                    </a:prstGeom>
                  </pic:spPr>
                </pic:pic>
              </a:graphicData>
            </a:graphic>
          </wp:inline>
        </w:drawing>
      </w:r>
    </w:p>
    <w:p w14:paraId="75B7DDF2">
      <w:pPr>
        <w:ind w:firstLine="480"/>
        <w:rPr>
          <w:rFonts w:hint="eastAsia"/>
          <w:lang w:val="en-US"/>
        </w:rPr>
      </w:pPr>
      <w:r>
        <w:rPr>
          <w:rFonts w:hint="eastAsia"/>
          <w:lang w:val="en-US"/>
        </w:rPr>
        <w:t>十六、工作台</w:t>
      </w:r>
    </w:p>
    <w:p w14:paraId="75B7DDF3">
      <w:pPr>
        <w:ind w:firstLine="480"/>
        <w:rPr>
          <w:rFonts w:hint="eastAsia"/>
          <w:lang w:val="en-US"/>
        </w:rPr>
      </w:pPr>
      <w:r>
        <w:rPr>
          <w:rFonts w:hint="eastAsia"/>
          <w:lang w:val="en-US"/>
        </w:rPr>
        <w:t>工作台实现监控设备和告警事件的实时数据统计、待办事项以及通知公告、行业动态等信息呈现。</w:t>
      </w:r>
    </w:p>
    <w:p w14:paraId="75B7DDF4">
      <w:pPr>
        <w:ind w:firstLine="480"/>
        <w:rPr>
          <w:rFonts w:hint="eastAsia"/>
          <w:lang w:val="en-US"/>
        </w:rPr>
      </w:pPr>
      <w:r>
        <w:rPr>
          <w:rFonts w:hint="eastAsia"/>
          <w:lang w:val="en-US"/>
        </w:rPr>
        <w:t>（一）APP</w:t>
      </w:r>
    </w:p>
    <w:p w14:paraId="75B7DDF5">
      <w:pPr>
        <w:ind w:firstLine="480"/>
        <w:rPr>
          <w:rFonts w:hint="eastAsia"/>
          <w:lang w:val="en-US"/>
        </w:rPr>
      </w:pPr>
      <w:r>
        <w:rPr>
          <w:rFonts w:hint="eastAsia"/>
          <w:lang w:val="en-US"/>
        </w:rPr>
        <w:t>APP主要用于工作人员的事件上报、事件处置、工作巡查、考勤打卡以及领导的移动办公，主要功能如下：</w:t>
      </w:r>
    </w:p>
    <w:p w14:paraId="75B7DDF6">
      <w:pPr>
        <w:ind w:firstLine="480"/>
        <w:rPr>
          <w:rFonts w:hint="eastAsia"/>
          <w:lang w:val="en-US"/>
        </w:rPr>
      </w:pPr>
      <w:r>
        <w:rPr>
          <w:rFonts w:hint="eastAsia"/>
          <w:lang w:val="en-US"/>
        </w:rPr>
        <w:t>事件上报：可通过APP进行事件上报，支持采集事件地理位置、图片、视频等信息，以及填写相关信息。</w:t>
      </w:r>
    </w:p>
    <w:p w14:paraId="75B7DDF7">
      <w:pPr>
        <w:ind w:firstLine="480"/>
        <w:rPr>
          <w:rFonts w:hint="eastAsia"/>
          <w:lang w:val="en-US"/>
        </w:rPr>
      </w:pPr>
      <w:r>
        <w:rPr>
          <w:rFonts w:hint="eastAsia"/>
          <w:lang w:val="en-US"/>
        </w:rPr>
        <w:t>事件处置：支持接收中心发送的事件处置任务，可查看事件名称、事发地点、告警图片、告警视频等事件详细信息，反馈事件处置结果和图片视频等。</w:t>
      </w:r>
    </w:p>
    <w:p w14:paraId="75B7DDF8">
      <w:pPr>
        <w:ind w:firstLine="480"/>
        <w:rPr>
          <w:rFonts w:hint="eastAsia"/>
          <w:lang w:val="en-US"/>
        </w:rPr>
      </w:pPr>
      <w:r>
        <w:rPr>
          <w:rFonts w:hint="eastAsia"/>
          <w:lang w:val="en-US"/>
        </w:rPr>
        <w:t>事件查询：支持按照告警时间、告警等级、告警类型、告警状态、关键字等查询事件，查看事件详情。</w:t>
      </w:r>
    </w:p>
    <w:p w14:paraId="75B7DDF9">
      <w:pPr>
        <w:ind w:firstLine="480"/>
        <w:rPr>
          <w:rFonts w:hint="eastAsia"/>
          <w:lang w:val="en-US"/>
        </w:rPr>
      </w:pPr>
      <w:r>
        <w:rPr>
          <w:rFonts w:hint="eastAsia"/>
          <w:lang w:val="en-US"/>
        </w:rPr>
        <w:t>领导批示：领导可查看批示申请和关联事件详情，进行批示和意见反馈。</w:t>
      </w:r>
    </w:p>
    <w:p w14:paraId="75B7DDFA">
      <w:pPr>
        <w:ind w:firstLine="480"/>
        <w:rPr>
          <w:rFonts w:hint="eastAsia"/>
          <w:lang w:val="en-US"/>
        </w:rPr>
      </w:pPr>
      <w:r>
        <w:rPr>
          <w:rFonts w:hint="eastAsia"/>
          <w:lang w:val="en-US"/>
        </w:rPr>
        <w:t>火情信息接收：领导可通过APP查看火情报送信息，并对火情信息进行批示。对领导审阅状态和批示状态进行记录和展示。</w:t>
      </w:r>
    </w:p>
    <w:p w14:paraId="75B7DDFB">
      <w:pPr>
        <w:ind w:firstLine="480"/>
        <w:rPr>
          <w:rFonts w:hint="eastAsia"/>
          <w:lang w:val="en-US"/>
        </w:rPr>
      </w:pPr>
      <w:r>
        <w:rPr>
          <w:rFonts w:hint="eastAsia"/>
          <w:lang w:val="en-US"/>
        </w:rPr>
        <w:t>工作巡查：网格员可接收中心下发的巡查任务，反馈巡查结果。</w:t>
      </w:r>
    </w:p>
    <w:p w14:paraId="75B7DDFC">
      <w:pPr>
        <w:ind w:firstLine="480"/>
        <w:rPr>
          <w:rFonts w:hint="eastAsia"/>
          <w:lang w:val="en-US"/>
        </w:rPr>
      </w:pPr>
      <w:r>
        <w:rPr>
          <w:rFonts w:hint="eastAsia"/>
          <w:lang w:val="en-US"/>
        </w:rPr>
        <w:t>考勤签到：可通过APP进行打卡签到，查看打卡记录和打卡统计信息。</w:t>
      </w:r>
    </w:p>
    <w:p w14:paraId="75B7DDFD">
      <w:pPr>
        <w:ind w:firstLine="480"/>
        <w:rPr>
          <w:rFonts w:hint="eastAsia"/>
          <w:lang w:val="en-US"/>
        </w:rPr>
      </w:pPr>
      <w:r>
        <w:rPr>
          <w:rFonts w:hint="eastAsia"/>
          <w:lang w:val="en-US"/>
        </w:rPr>
        <w:t>实时视频：可查看摄像头的实时视频、对摄像头进行云台控制，可查看摄像头详情和地理位置。</w:t>
      </w:r>
    </w:p>
    <w:p w14:paraId="75B7DDFE">
      <w:pPr>
        <w:ind w:firstLine="480"/>
        <w:rPr>
          <w:rFonts w:hint="eastAsia"/>
          <w:lang w:val="en-US"/>
        </w:rPr>
      </w:pPr>
      <w:r>
        <w:rPr>
          <w:rFonts w:hint="eastAsia"/>
          <w:lang w:val="en-US"/>
        </w:rPr>
        <w:t>地图服务：</w:t>
      </w:r>
    </w:p>
    <w:p w14:paraId="75B7DDFF">
      <w:pPr>
        <w:ind w:firstLine="480"/>
        <w:rPr>
          <w:rFonts w:hint="eastAsia"/>
          <w:lang w:val="en-US"/>
        </w:rPr>
      </w:pPr>
      <w:r>
        <w:rPr>
          <w:rFonts w:hint="eastAsia"/>
          <w:lang w:val="en-US"/>
        </w:rPr>
        <w:t>（1）查询位置、摄像头、事件、网格、网格员。</w:t>
      </w:r>
    </w:p>
    <w:p w14:paraId="75B7DE00">
      <w:pPr>
        <w:ind w:firstLine="480"/>
        <w:rPr>
          <w:rFonts w:hint="eastAsia"/>
          <w:lang w:val="en-US"/>
        </w:rPr>
      </w:pPr>
      <w:r>
        <w:rPr>
          <w:rFonts w:hint="eastAsia"/>
          <w:lang w:val="en-US"/>
        </w:rPr>
        <w:t>（2）矢量地图/卫星地图切换</w:t>
      </w:r>
    </w:p>
    <w:p w14:paraId="75B7DE01">
      <w:pPr>
        <w:ind w:firstLine="480"/>
        <w:rPr>
          <w:rFonts w:hint="eastAsia"/>
          <w:lang w:val="en-US"/>
        </w:rPr>
      </w:pPr>
      <w:r>
        <w:rPr>
          <w:rFonts w:hint="eastAsia"/>
          <w:lang w:val="en-US"/>
        </w:rPr>
        <w:t>（3）图层显隐，控制事件、摄像头、网格、网格员、资源等图层的显隐。</w:t>
      </w:r>
    </w:p>
    <w:p w14:paraId="75B7DE02">
      <w:pPr>
        <w:ind w:firstLine="480"/>
        <w:rPr>
          <w:rFonts w:hint="eastAsia"/>
          <w:lang w:val="en-US"/>
        </w:rPr>
      </w:pPr>
      <w:r>
        <w:rPr>
          <w:rFonts w:hint="eastAsia"/>
          <w:lang w:val="en-US"/>
        </w:rPr>
        <w:t>（4）地图定位。</w:t>
      </w:r>
    </w:p>
    <w:p w14:paraId="75B7DE03">
      <w:pPr>
        <w:ind w:firstLine="480"/>
        <w:rPr>
          <w:rFonts w:hint="eastAsia"/>
          <w:lang w:val="en-US"/>
        </w:rPr>
      </w:pPr>
      <w:r>
        <w:rPr>
          <w:rFonts w:hint="eastAsia"/>
          <w:lang w:val="en-US"/>
        </w:rPr>
        <w:t>（5）智能客服。</w:t>
      </w:r>
    </w:p>
    <w:p w14:paraId="75B7DE04">
      <w:pPr>
        <w:ind w:firstLine="480"/>
        <w:rPr>
          <w:rFonts w:hint="eastAsia"/>
          <w:lang w:val="en-US"/>
        </w:rPr>
      </w:pPr>
      <w:r>
        <w:rPr>
          <w:rFonts w:hint="eastAsia"/>
          <w:lang w:val="en-US"/>
        </w:rPr>
        <w:t>（6）在地图上查看事件、摄像头信息，提供当前位置到事件/摄像头位置的路线规划和导航。</w:t>
      </w:r>
    </w:p>
    <w:p w14:paraId="75B7DE05">
      <w:pPr>
        <w:ind w:firstLine="480"/>
        <w:rPr>
          <w:rFonts w:hint="eastAsia"/>
          <w:lang w:val="en-US"/>
        </w:rPr>
      </w:pPr>
      <w:r>
        <w:rPr>
          <w:rFonts w:hint="eastAsia"/>
          <w:lang w:val="en-US"/>
        </w:rPr>
        <w:t>统计分析：实现监控设备和告警事件等数据的统计分析。</w:t>
      </w:r>
    </w:p>
    <w:p w14:paraId="75B7DE06">
      <w:pPr>
        <w:ind w:firstLine="480"/>
        <w:rPr>
          <w:rFonts w:hint="eastAsia"/>
          <w:lang w:val="en-US"/>
        </w:rPr>
      </w:pPr>
      <w:r>
        <w:rPr>
          <w:rFonts w:hint="eastAsia"/>
          <w:lang w:val="en-US"/>
        </w:rPr>
        <w:t>我的：我的用于管理用户个人信息，查看应用版本和接收消息公告。</w:t>
      </w:r>
    </w:p>
    <w:p w14:paraId="75B7DE07">
      <w:pPr>
        <w:ind w:firstLine="480"/>
        <w:rPr>
          <w:rFonts w:hint="eastAsia"/>
          <w:lang w:val="en-US"/>
        </w:rPr>
      </w:pPr>
      <w:r>
        <w:rPr>
          <w:rFonts w:hint="eastAsia"/>
          <w:lang w:val="en-US"/>
        </w:rPr>
        <w:t>（二）小程序</w:t>
      </w:r>
    </w:p>
    <w:p w14:paraId="75B7DE08">
      <w:pPr>
        <w:ind w:firstLine="480"/>
        <w:rPr>
          <w:rFonts w:hint="eastAsia"/>
          <w:lang w:val="en-US"/>
        </w:rPr>
      </w:pPr>
      <w:r>
        <w:rPr>
          <w:rFonts w:hint="eastAsia"/>
          <w:lang w:val="en-US"/>
        </w:rPr>
        <w:t>微信小程序主要用于工作人员的事件上报、事件处置、工作巡查、资源管理、考勤打卡以及领导的移动办公，主要功能如下：</w:t>
      </w:r>
    </w:p>
    <w:p w14:paraId="75B7DE09">
      <w:pPr>
        <w:ind w:firstLine="480"/>
        <w:rPr>
          <w:rFonts w:hint="eastAsia"/>
          <w:lang w:val="en-US"/>
        </w:rPr>
      </w:pPr>
      <w:r>
        <w:rPr>
          <w:rFonts w:hint="eastAsia"/>
          <w:lang w:val="en-US"/>
        </w:rPr>
        <w:t>事件上报：可通过APP进行事件上报，支持采集事件地理位置、图片、视频等信息，以及填写相关信息。</w:t>
      </w:r>
    </w:p>
    <w:p w14:paraId="75B7DE0A">
      <w:pPr>
        <w:ind w:firstLine="480"/>
        <w:rPr>
          <w:rFonts w:hint="eastAsia"/>
          <w:lang w:val="en-US"/>
        </w:rPr>
      </w:pPr>
      <w:r>
        <w:rPr>
          <w:rFonts w:hint="eastAsia"/>
          <w:lang w:val="en-US"/>
        </w:rPr>
        <w:t>事件处置：支持接收中心发送的事件处置任务，可查看事件名称、事发地点、告警图片、告警视频等事件详细信息，反馈事件处置结果和图片视频等。</w:t>
      </w:r>
    </w:p>
    <w:p w14:paraId="75B7DE0B">
      <w:pPr>
        <w:ind w:firstLine="480"/>
        <w:rPr>
          <w:rFonts w:hint="eastAsia"/>
          <w:lang w:val="en-US"/>
        </w:rPr>
      </w:pPr>
      <w:r>
        <w:rPr>
          <w:rFonts w:hint="eastAsia"/>
          <w:lang w:val="en-US"/>
        </w:rPr>
        <w:t>领导批示：领导可查看批示申请和关联事件详情，进行批示和意见反馈。</w:t>
      </w:r>
    </w:p>
    <w:p w14:paraId="75B7DE0C">
      <w:pPr>
        <w:ind w:firstLine="480"/>
        <w:rPr>
          <w:rFonts w:hint="eastAsia"/>
          <w:lang w:val="en-US"/>
        </w:rPr>
      </w:pPr>
      <w:r>
        <w:rPr>
          <w:rFonts w:hint="eastAsia"/>
          <w:lang w:val="en-US"/>
        </w:rPr>
        <w:t>火情信息接收：领导可通过APP查看火情报送信息，并对火情信息进行批示。对领导审阅状态和批示状态进行记录和展示。</w:t>
      </w:r>
    </w:p>
    <w:p w14:paraId="75B7DE0D">
      <w:pPr>
        <w:ind w:firstLine="480"/>
        <w:rPr>
          <w:rFonts w:hint="eastAsia"/>
          <w:lang w:val="en-US"/>
        </w:rPr>
      </w:pPr>
      <w:r>
        <w:rPr>
          <w:rFonts w:hint="eastAsia"/>
          <w:lang w:val="en-US"/>
        </w:rPr>
        <w:t>十七、无人机指挥调度应用系统</w:t>
      </w:r>
    </w:p>
    <w:p w14:paraId="75B7DE0E">
      <w:pPr>
        <w:ind w:firstLine="480"/>
        <w:rPr>
          <w:rFonts w:hint="eastAsia"/>
          <w:lang w:val="en-US"/>
        </w:rPr>
      </w:pPr>
      <w:r>
        <w:rPr>
          <w:rFonts w:hint="eastAsia"/>
          <w:lang w:val="en-US"/>
        </w:rPr>
        <w:t>（一）无人机指挥调度应用系统架构图</w:t>
      </w:r>
    </w:p>
    <w:p w14:paraId="75B7DE0F">
      <w:pPr>
        <w:spacing w:line="240" w:lineRule="auto"/>
        <w:ind w:firstLine="0" w:firstLineChars="0"/>
        <w:rPr>
          <w:rFonts w:hint="eastAsia"/>
          <w:lang w:val="en-US"/>
        </w:rPr>
      </w:pPr>
      <w:r>
        <w:drawing>
          <wp:inline distT="0" distB="0" distL="0" distR="0">
            <wp:extent cx="5274310" cy="2691765"/>
            <wp:effectExtent l="0" t="0" r="8890" b="635"/>
            <wp:docPr id="76231349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313493" name="图片 1"/>
                    <pic:cNvPicPr>
                      <a:picLocks noChangeAspect="1"/>
                    </pic:cNvPicPr>
                  </pic:nvPicPr>
                  <pic:blipFill>
                    <a:blip r:embed="rId41"/>
                    <a:stretch>
                      <a:fillRect/>
                    </a:stretch>
                  </pic:blipFill>
                  <pic:spPr>
                    <a:xfrm>
                      <a:off x="0" y="0"/>
                      <a:ext cx="5274310" cy="2692399"/>
                    </a:xfrm>
                    <a:prstGeom prst="rect">
                      <a:avLst/>
                    </a:prstGeom>
                  </pic:spPr>
                </pic:pic>
              </a:graphicData>
            </a:graphic>
          </wp:inline>
        </w:drawing>
      </w:r>
    </w:p>
    <w:p w14:paraId="75B7DE10">
      <w:pPr>
        <w:ind w:firstLine="480"/>
        <w:rPr>
          <w:rFonts w:hint="eastAsia"/>
          <w:lang w:val="en-US"/>
        </w:rPr>
      </w:pPr>
      <w:r>
        <w:rPr>
          <w:rFonts w:hint="eastAsia"/>
          <w:lang w:val="en-US"/>
        </w:rPr>
        <w:t>（二）无人机指挥调度应用系统功能</w:t>
      </w:r>
    </w:p>
    <w:p w14:paraId="75B7DE11">
      <w:pPr>
        <w:ind w:firstLine="480"/>
        <w:rPr>
          <w:rFonts w:hint="eastAsia"/>
          <w:lang w:val="en-US"/>
        </w:rPr>
      </w:pPr>
      <w:r>
        <w:rPr>
          <w:rFonts w:hint="eastAsia"/>
          <w:lang w:val="en-US"/>
        </w:rPr>
        <w:t>1.飞行管理服务</w:t>
      </w:r>
    </w:p>
    <w:p w14:paraId="75B7DE12">
      <w:pPr>
        <w:ind w:firstLine="480"/>
        <w:rPr>
          <w:rFonts w:hint="eastAsia"/>
          <w:lang w:val="en-US"/>
        </w:rPr>
      </w:pPr>
      <w:r>
        <w:rPr>
          <w:rFonts w:hint="eastAsia"/>
          <w:lang w:val="en-US"/>
        </w:rPr>
        <w:t>核心为“飞行全流程能力支撑”，关键功能包括：</w:t>
      </w:r>
    </w:p>
    <w:p w14:paraId="75B7DE13">
      <w:pPr>
        <w:ind w:firstLine="480"/>
        <w:rPr>
          <w:rFonts w:hint="eastAsia"/>
          <w:lang w:val="en-US"/>
        </w:rPr>
      </w:pPr>
      <w:r>
        <w:rPr>
          <w:rFonts w:hint="eastAsia"/>
          <w:lang w:val="en-US"/>
        </w:rPr>
        <w:t>航线支撑：提供航线规划、参数配置、航线导入/修改服务；</w:t>
      </w:r>
    </w:p>
    <w:p w14:paraId="75B7DE14">
      <w:pPr>
        <w:ind w:firstLine="480"/>
        <w:rPr>
          <w:rFonts w:hint="eastAsia"/>
          <w:lang w:val="en-US"/>
        </w:rPr>
      </w:pPr>
      <w:r>
        <w:rPr>
          <w:rFonts w:hint="eastAsia"/>
          <w:lang w:val="en-US"/>
        </w:rPr>
        <w:t>计划管控：支持飞行计划创建、启停/复飞控制、计划关联设备与AI算法；</w:t>
      </w:r>
    </w:p>
    <w:p w14:paraId="75B7DE15">
      <w:pPr>
        <w:ind w:firstLine="480"/>
        <w:rPr>
          <w:rFonts w:hint="eastAsia"/>
          <w:lang w:val="en-US"/>
        </w:rPr>
      </w:pPr>
      <w:r>
        <w:rPr>
          <w:rFonts w:hint="eastAsia"/>
          <w:lang w:val="en-US"/>
        </w:rPr>
        <w:t>任务闭环：反馈飞行任务结果、提供任务数据（轨迹、姿态、气象数据）回放服务。</w:t>
      </w:r>
    </w:p>
    <w:p w14:paraId="75B7DE16">
      <w:pPr>
        <w:ind w:firstLine="480"/>
        <w:rPr>
          <w:rFonts w:hint="eastAsia"/>
          <w:lang w:val="en-US"/>
        </w:rPr>
      </w:pPr>
      <w:r>
        <w:rPr>
          <w:rFonts w:hint="eastAsia"/>
          <w:lang w:val="en-US"/>
        </w:rPr>
        <w:t>2.无人机监控服务</w:t>
      </w:r>
    </w:p>
    <w:p w14:paraId="75B7DE17">
      <w:pPr>
        <w:ind w:firstLine="480"/>
        <w:rPr>
          <w:rFonts w:hint="eastAsia"/>
          <w:lang w:val="en-US"/>
        </w:rPr>
      </w:pPr>
      <w:r>
        <w:rPr>
          <w:rFonts w:hint="eastAsia"/>
          <w:lang w:val="en-US"/>
        </w:rPr>
        <w:t>核心为“无人机实时状态与设备健康支撑”，关键功能包括：</w:t>
      </w:r>
    </w:p>
    <w:p w14:paraId="75B7DE18">
      <w:pPr>
        <w:ind w:firstLine="480"/>
        <w:rPr>
          <w:rFonts w:hint="eastAsia"/>
          <w:lang w:val="en-US"/>
        </w:rPr>
      </w:pPr>
      <w:r>
        <w:rPr>
          <w:rFonts w:hint="eastAsia"/>
          <w:lang w:val="en-US"/>
        </w:rPr>
        <w:t>实时状态监控：输出无人机关键参数（电量、姿态、位置、飞行速度/高度）、机场状态（温度、网络信号、在线离线）；</w:t>
      </w:r>
    </w:p>
    <w:p w14:paraId="75B7DE19">
      <w:pPr>
        <w:ind w:firstLine="480"/>
        <w:rPr>
          <w:rFonts w:hint="eastAsia"/>
          <w:lang w:val="en-US"/>
        </w:rPr>
      </w:pPr>
      <w:r>
        <w:rPr>
          <w:rFonts w:hint="eastAsia"/>
          <w:lang w:val="en-US"/>
        </w:rPr>
        <w:t>设备健康管理：存储并提供无人机累计飞行时长、设备SN码、实时工作状态（任务中/空闲）等健康数据；</w:t>
      </w:r>
    </w:p>
    <w:p w14:paraId="75B7DE1A">
      <w:pPr>
        <w:ind w:firstLine="480"/>
        <w:rPr>
          <w:rFonts w:hint="eastAsia"/>
          <w:lang w:val="en-US"/>
        </w:rPr>
      </w:pPr>
      <w:r>
        <w:rPr>
          <w:rFonts w:hint="eastAsia"/>
          <w:lang w:val="en-US"/>
        </w:rPr>
        <w:t>音视频监控：支撑无人机实时视频直播、历史录像回放、拍照/录像数据传输服务。</w:t>
      </w:r>
    </w:p>
    <w:p w14:paraId="75B7DE1B">
      <w:pPr>
        <w:ind w:firstLine="480"/>
        <w:rPr>
          <w:rFonts w:hint="eastAsia"/>
          <w:lang w:val="en-US"/>
        </w:rPr>
      </w:pPr>
      <w:r>
        <w:rPr>
          <w:rFonts w:hint="eastAsia"/>
          <w:lang w:val="en-US"/>
        </w:rPr>
        <w:t>3.无人机巡查服务</w:t>
      </w:r>
    </w:p>
    <w:p w14:paraId="75B7DE1C">
      <w:pPr>
        <w:ind w:firstLine="480"/>
        <w:rPr>
          <w:rFonts w:hint="eastAsia"/>
          <w:lang w:val="en-US"/>
        </w:rPr>
      </w:pPr>
      <w:r>
        <w:rPr>
          <w:rFonts w:hint="eastAsia"/>
          <w:lang w:val="en-US"/>
        </w:rPr>
        <w:t>核心为“巡查任务执行与告警响应支撑”，关键功能包括：</w:t>
      </w:r>
    </w:p>
    <w:p w14:paraId="75B7DE1D">
      <w:pPr>
        <w:ind w:firstLine="480"/>
        <w:rPr>
          <w:rFonts w:hint="eastAsia"/>
          <w:lang w:val="en-US"/>
        </w:rPr>
      </w:pPr>
      <w:r>
        <w:rPr>
          <w:rFonts w:hint="eastAsia"/>
          <w:lang w:val="en-US"/>
        </w:rPr>
        <w:t>巡查任务执行：按区域/航线分配巡查任务，支撑定点点位飞行（经纬度/地图选点）；</w:t>
      </w:r>
    </w:p>
    <w:p w14:paraId="75B7DE1E">
      <w:pPr>
        <w:ind w:firstLine="480"/>
        <w:rPr>
          <w:rFonts w:hint="eastAsia"/>
          <w:lang w:val="en-US"/>
        </w:rPr>
      </w:pPr>
      <w:r>
        <w:rPr>
          <w:rFonts w:hint="eastAsia"/>
          <w:lang w:val="en-US"/>
        </w:rPr>
        <w:t>告警联动处置：指派无人机自动飞向告警经纬度，支撑巡查与告警事件关联；</w:t>
      </w:r>
    </w:p>
    <w:p w14:paraId="75B7DE1F">
      <w:pPr>
        <w:ind w:firstLine="480"/>
        <w:rPr>
          <w:rFonts w:hint="eastAsia"/>
          <w:lang w:val="en-US"/>
        </w:rPr>
      </w:pPr>
      <w:r>
        <w:rPr>
          <w:rFonts w:hint="eastAsia"/>
          <w:lang w:val="en-US"/>
        </w:rPr>
        <w:t>4.平台对接服务</w:t>
      </w:r>
    </w:p>
    <w:p w14:paraId="75B7DE20">
      <w:pPr>
        <w:ind w:firstLine="480"/>
        <w:rPr>
          <w:rFonts w:hint="eastAsia"/>
          <w:lang w:val="en-US"/>
        </w:rPr>
      </w:pPr>
      <w:r>
        <w:rPr>
          <w:rFonts w:hint="eastAsia"/>
          <w:lang w:val="en-US"/>
        </w:rPr>
        <w:t>核心为“跨平台协同能力支撑”，关键功能包括：</w:t>
      </w:r>
    </w:p>
    <w:p w14:paraId="75B7DE21">
      <w:pPr>
        <w:ind w:firstLine="480"/>
        <w:rPr>
          <w:rFonts w:hint="eastAsia"/>
          <w:lang w:val="en-US"/>
        </w:rPr>
      </w:pPr>
      <w:r>
        <w:rPr>
          <w:rFonts w:hint="eastAsia"/>
          <w:lang w:val="en-US"/>
        </w:rPr>
        <w:t>接口对接：提供跨平台接口，支撑与外部平台的菜单集成（如功能入口对接）、事件集成（如告警事件同步）；</w:t>
      </w:r>
    </w:p>
    <w:p w14:paraId="75B7DE22">
      <w:pPr>
        <w:ind w:firstLine="480"/>
        <w:rPr>
          <w:rFonts w:hint="eastAsia"/>
          <w:lang w:val="en-US"/>
        </w:rPr>
      </w:pPr>
      <w:r>
        <w:rPr>
          <w:rFonts w:hint="eastAsia"/>
          <w:lang w:val="en-US"/>
        </w:rPr>
        <w:t>数据互通：确保系统与外部平台的数据流转（如飞行任务结果、设备状态同步至外部平台），实现信息共享。</w:t>
      </w:r>
    </w:p>
    <w:p w14:paraId="75B7DE23">
      <w:pPr>
        <w:ind w:firstLine="480"/>
        <w:rPr>
          <w:rFonts w:hint="eastAsia"/>
          <w:lang w:val="en-US"/>
        </w:rPr>
      </w:pPr>
      <w:r>
        <w:rPr>
          <w:rFonts w:hint="eastAsia"/>
          <w:lang w:val="en-US"/>
        </w:rPr>
        <w:t>5.数据信息库服务</w:t>
      </w:r>
    </w:p>
    <w:p w14:paraId="75B7DE24">
      <w:pPr>
        <w:ind w:firstLine="480"/>
        <w:rPr>
          <w:rFonts w:hint="eastAsia"/>
          <w:lang w:val="en-US"/>
        </w:rPr>
      </w:pPr>
      <w:r>
        <w:rPr>
          <w:rFonts w:hint="eastAsia"/>
          <w:lang w:val="en-US"/>
        </w:rPr>
        <w:t>核心为“全量业务数据存储与调取支撑”，按库分类精简如下：</w:t>
      </w:r>
    </w:p>
    <w:tbl>
      <w:tblPr>
        <w:tblStyle w:val="38"/>
        <w:tblW w:w="92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1883"/>
        <w:gridCol w:w="4145"/>
        <w:gridCol w:w="3259"/>
      </w:tblGrid>
      <w:tr w14:paraId="75B7D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blHeader/>
          <w:jc w:val="center"/>
        </w:trPr>
        <w:tc>
          <w:tcPr>
            <w:tcW w:w="1883" w:type="dxa"/>
            <w:shd w:val="clear" w:color="auto" w:fill="FFFFFF"/>
            <w:vAlign w:val="center"/>
          </w:tcPr>
          <w:p w14:paraId="75B7DE25">
            <w:pPr>
              <w:widowControl/>
              <w:autoSpaceDE/>
              <w:autoSpaceDN/>
              <w:snapToGrid w:val="0"/>
              <w:spacing w:line="240" w:lineRule="auto"/>
              <w:ind w:firstLine="0" w:firstLineChars="0"/>
              <w:jc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数据仓库类型</w:t>
            </w:r>
          </w:p>
        </w:tc>
        <w:tc>
          <w:tcPr>
            <w:tcW w:w="4145" w:type="dxa"/>
            <w:shd w:val="clear" w:color="auto" w:fill="FFFFFF"/>
            <w:vAlign w:val="center"/>
          </w:tcPr>
          <w:p w14:paraId="75B7DE26">
            <w:pPr>
              <w:widowControl/>
              <w:autoSpaceDE/>
              <w:autoSpaceDN/>
              <w:snapToGrid w:val="0"/>
              <w:spacing w:line="240" w:lineRule="auto"/>
              <w:ind w:firstLine="0" w:firstLineChars="0"/>
              <w:jc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核心存储内容</w:t>
            </w:r>
          </w:p>
        </w:tc>
        <w:tc>
          <w:tcPr>
            <w:tcW w:w="3259" w:type="dxa"/>
            <w:shd w:val="clear" w:color="auto" w:fill="FFFFFF"/>
            <w:vAlign w:val="center"/>
          </w:tcPr>
          <w:p w14:paraId="75B7DE27">
            <w:pPr>
              <w:widowControl/>
              <w:autoSpaceDE/>
              <w:autoSpaceDN/>
              <w:snapToGrid w:val="0"/>
              <w:spacing w:line="240" w:lineRule="auto"/>
              <w:ind w:firstLine="0" w:firstLineChars="0"/>
              <w:jc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服务能力</w:t>
            </w:r>
          </w:p>
        </w:tc>
      </w:tr>
      <w:tr w14:paraId="75B7D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83" w:type="dxa"/>
            <w:shd w:val="clear" w:color="auto" w:fill="FFFFFF"/>
            <w:vAlign w:val="center"/>
          </w:tcPr>
          <w:p w14:paraId="75B7DE29">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档案库</w:t>
            </w:r>
          </w:p>
        </w:tc>
        <w:tc>
          <w:tcPr>
            <w:tcW w:w="4145" w:type="dxa"/>
            <w:shd w:val="clear" w:color="auto" w:fill="FFFFFF"/>
            <w:vAlign w:val="center"/>
          </w:tcPr>
          <w:p w14:paraId="75B7DE2A">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设备档案（SN码、型号）、飞手档案（资质、飞龄、任务记录）、组织/项目档案</w:t>
            </w:r>
          </w:p>
        </w:tc>
        <w:tc>
          <w:tcPr>
            <w:tcW w:w="3259" w:type="dxa"/>
            <w:shd w:val="clear" w:color="auto" w:fill="FFFFFF"/>
            <w:vAlign w:val="center"/>
          </w:tcPr>
          <w:p w14:paraId="75B7DE2B">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提供档案查询、新增/修改支撑，为业务管理提供基础数据</w:t>
            </w:r>
          </w:p>
        </w:tc>
      </w:tr>
      <w:tr w14:paraId="75B7D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83" w:type="dxa"/>
            <w:shd w:val="clear" w:color="auto" w:fill="FFFFFF"/>
            <w:vAlign w:val="center"/>
          </w:tcPr>
          <w:p w14:paraId="75B7DE2D">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轨迹库</w:t>
            </w:r>
          </w:p>
        </w:tc>
        <w:tc>
          <w:tcPr>
            <w:tcW w:w="4145" w:type="dxa"/>
            <w:shd w:val="clear" w:color="auto" w:fill="FFFFFF"/>
            <w:vAlign w:val="center"/>
          </w:tcPr>
          <w:p w14:paraId="75B7DE2E">
            <w:pPr>
              <w:widowControl/>
              <w:autoSpaceDE/>
              <w:autoSpaceDN/>
              <w:snapToGrid w:val="0"/>
              <w:spacing w:line="240" w:lineRule="auto"/>
              <w:ind w:firstLine="0" w:firstLineChars="0"/>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无人机飞行轨迹数据（经纬度、时间、高度、速度）</w:t>
            </w:r>
          </w:p>
        </w:tc>
        <w:tc>
          <w:tcPr>
            <w:tcW w:w="3259" w:type="dxa"/>
            <w:shd w:val="clear" w:color="auto" w:fill="FFFFFF"/>
            <w:vAlign w:val="center"/>
          </w:tcPr>
          <w:p w14:paraId="75B7DE2F">
            <w:pPr>
              <w:widowControl/>
              <w:autoSpaceDE/>
              <w:autoSpaceDN/>
              <w:snapToGrid w:val="0"/>
              <w:spacing w:line="240" w:lineRule="auto"/>
              <w:ind w:firstLine="0" w:firstLineChars="0"/>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支撑轨迹回放、飞行路径追溯</w:t>
            </w:r>
          </w:p>
        </w:tc>
      </w:tr>
      <w:tr w14:paraId="75B7D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83" w:type="dxa"/>
            <w:shd w:val="clear" w:color="auto" w:fill="FFFFFF"/>
            <w:vAlign w:val="center"/>
          </w:tcPr>
          <w:p w14:paraId="75B7DE31">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音视频库</w:t>
            </w:r>
          </w:p>
        </w:tc>
        <w:tc>
          <w:tcPr>
            <w:tcW w:w="4145" w:type="dxa"/>
            <w:shd w:val="clear" w:color="auto" w:fill="FFFFFF"/>
            <w:vAlign w:val="center"/>
          </w:tcPr>
          <w:p w14:paraId="75B7DE32">
            <w:pPr>
              <w:widowControl/>
              <w:autoSpaceDE/>
              <w:autoSpaceDN/>
              <w:snapToGrid w:val="0"/>
              <w:spacing w:line="240" w:lineRule="auto"/>
              <w:ind w:firstLine="0" w:firstLineChars="0"/>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无人机实时直播视频、历史录像、巡查拍照（含红外/广角/全景图）</w:t>
            </w:r>
          </w:p>
        </w:tc>
        <w:tc>
          <w:tcPr>
            <w:tcW w:w="3259" w:type="dxa"/>
            <w:shd w:val="clear" w:color="auto" w:fill="FFFFFF"/>
            <w:vAlign w:val="center"/>
          </w:tcPr>
          <w:p w14:paraId="75B7DE33">
            <w:pPr>
              <w:widowControl/>
              <w:autoSpaceDE/>
              <w:autoSpaceDN/>
              <w:snapToGrid w:val="0"/>
              <w:spacing w:line="240" w:lineRule="auto"/>
              <w:ind w:firstLine="0" w:firstLineChars="0"/>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提供音视频调取、回放、下载支撑</w:t>
            </w:r>
          </w:p>
        </w:tc>
      </w:tr>
      <w:tr w14:paraId="75B7D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83" w:type="dxa"/>
            <w:shd w:val="clear" w:color="auto" w:fill="FFFFFF"/>
            <w:vAlign w:val="center"/>
          </w:tcPr>
          <w:p w14:paraId="75B7DE35">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模型库</w:t>
            </w:r>
          </w:p>
        </w:tc>
        <w:tc>
          <w:tcPr>
            <w:tcW w:w="4145" w:type="dxa"/>
            <w:shd w:val="clear" w:color="auto" w:fill="FFFFFF"/>
            <w:vAlign w:val="center"/>
          </w:tcPr>
          <w:p w14:paraId="75B7DE36">
            <w:pPr>
              <w:widowControl/>
              <w:autoSpaceDE/>
              <w:autoSpaceDN/>
              <w:snapToGrid w:val="0"/>
              <w:spacing w:line="240" w:lineRule="auto"/>
              <w:ind w:firstLine="0" w:firstLineChars="0"/>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巡查生成的三维模型（如区域三维重建模型）</w:t>
            </w:r>
          </w:p>
        </w:tc>
        <w:tc>
          <w:tcPr>
            <w:tcW w:w="3259" w:type="dxa"/>
            <w:shd w:val="clear" w:color="auto" w:fill="FFFFFF"/>
            <w:vAlign w:val="center"/>
          </w:tcPr>
          <w:p w14:paraId="75B7DE37">
            <w:pPr>
              <w:widowControl/>
              <w:autoSpaceDE/>
              <w:autoSpaceDN/>
              <w:snapToGrid w:val="0"/>
              <w:spacing w:line="240" w:lineRule="auto"/>
              <w:ind w:firstLine="0" w:firstLineChars="0"/>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支撑模型存储、查看，辅助巡查结果分析</w:t>
            </w:r>
          </w:p>
        </w:tc>
      </w:tr>
      <w:tr w14:paraId="75B7D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83" w:type="dxa"/>
            <w:shd w:val="clear" w:color="auto" w:fill="FFFFFF"/>
            <w:vAlign w:val="center"/>
          </w:tcPr>
          <w:p w14:paraId="75B7DE39">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地理信息库</w:t>
            </w:r>
          </w:p>
        </w:tc>
        <w:tc>
          <w:tcPr>
            <w:tcW w:w="4145" w:type="dxa"/>
            <w:shd w:val="clear" w:color="auto" w:fill="FFFFFF"/>
            <w:vAlign w:val="center"/>
          </w:tcPr>
          <w:p w14:paraId="75B7DE3A">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多类型地图数据（卫星/二维/三维地图）、经纬度坐标、电子围栏数据</w:t>
            </w:r>
          </w:p>
        </w:tc>
        <w:tc>
          <w:tcPr>
            <w:tcW w:w="3259" w:type="dxa"/>
            <w:shd w:val="clear" w:color="auto" w:fill="FFFFFF"/>
            <w:vAlign w:val="center"/>
          </w:tcPr>
          <w:p w14:paraId="75B7DE3B">
            <w:pPr>
              <w:widowControl/>
              <w:autoSpaceDE/>
              <w:autoSpaceDN/>
              <w:snapToGrid w:val="0"/>
              <w:spacing w:line="240" w:lineRule="auto"/>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为飞行定位、选点飞行、区域划分提供地理数据支撑</w:t>
            </w:r>
          </w:p>
        </w:tc>
      </w:tr>
    </w:tbl>
    <w:p w14:paraId="75B7DE3D">
      <w:pPr>
        <w:ind w:firstLine="480"/>
        <w:rPr>
          <w:rFonts w:hint="eastAsia"/>
          <w:lang w:val="en-US"/>
        </w:rPr>
      </w:pPr>
      <w:r>
        <w:rPr>
          <w:rFonts w:hint="eastAsia"/>
          <w:lang w:val="en-US"/>
        </w:rPr>
        <w:t>无人机指挥调度应用系统整合飞行管理、监控与巡查全流程功能：飞行管理服务支持航线规划、飞行计划管控及任务结果整合回溯；无人机监控服务实现实时状态采集、设备健康判定、音视频实时处理与异常告警可视化展示；无人机巡查服务涵盖任务规则配置、航线适配、异常信息识别与告警联动调度，结合多条件筛选查询与数据报表导出，构建无人机 “计划 - 执行 - 监控 - 分析” 的一体化指挥调度体系。</w:t>
      </w:r>
    </w:p>
    <w:p w14:paraId="75B7DE3E">
      <w:pPr>
        <w:numPr>
          <w:ilvl w:val="0"/>
          <w:numId w:val="15"/>
        </w:numPr>
        <w:ind w:firstLine="480"/>
        <w:rPr>
          <w:rFonts w:hint="eastAsia"/>
          <w:lang w:val="en-US"/>
        </w:rPr>
      </w:pPr>
      <w:r>
        <w:rPr>
          <w:rFonts w:hint="eastAsia"/>
          <w:lang w:val="en-US"/>
        </w:rPr>
        <w:t>接口服务</w:t>
      </w:r>
    </w:p>
    <w:p w14:paraId="75B7DE3F">
      <w:pPr>
        <w:ind w:firstLine="480"/>
        <w:rPr>
          <w:rFonts w:hint="eastAsia"/>
          <w:lang w:val="en-US"/>
        </w:rPr>
      </w:pPr>
      <w:r>
        <w:rPr>
          <w:rFonts w:hint="eastAsia"/>
          <w:lang w:val="en-US"/>
        </w:rPr>
        <w:t>平台接口：应急灾害视频监控预警系统平台提供标准化接口服务，满足平台间互联互通，系统间通过平台级联方式，打通系统之间的数据与应用交互。</w:t>
      </w:r>
    </w:p>
    <w:p w14:paraId="75B7DE40">
      <w:pPr>
        <w:ind w:firstLine="480"/>
        <w:rPr>
          <w:rFonts w:hint="eastAsia"/>
          <w:lang w:val="en-US"/>
        </w:rPr>
      </w:pPr>
      <w:r>
        <w:rPr>
          <w:rFonts w:hint="eastAsia"/>
          <w:lang w:val="en-US"/>
        </w:rPr>
        <w:t>系统对接方式：API是最常见的对接方式之一。API是一种标准的接口，可以使得不同的系统之间通过数据交换而实现连接。API可以通过HTTP、HTTPS、TCP、UDP等协议进行通信，从而实现数据交换和共享。</w:t>
      </w:r>
    </w:p>
    <w:p w14:paraId="75B7DE41">
      <w:pPr>
        <w:ind w:firstLine="480"/>
        <w:rPr>
          <w:rFonts w:hint="eastAsia"/>
          <w:lang w:val="en-US"/>
        </w:rPr>
      </w:pPr>
      <w:r>
        <w:rPr>
          <w:rFonts w:hint="eastAsia"/>
          <w:lang w:val="en-US"/>
        </w:rPr>
        <w:t>政务巡检飞控平台对接接口：本平台与其他异构系统之间的数据与应用的交互可通过协调、采用开放API或遵循XML、JSON、WebService、restful、文件下载等标准规范进行建设。系统可提供接口配置功能，支持用户定制各类通用服务接口，通过服务接口配置工具完成本地数据资源查询、下载的服务接口配置。</w:t>
      </w:r>
    </w:p>
    <w:p w14:paraId="75B7DE42">
      <w:pPr>
        <w:ind w:firstLine="480"/>
        <w:rPr>
          <w:rFonts w:hint="eastAsia"/>
          <w:lang w:val="en-US"/>
        </w:rPr>
      </w:pPr>
      <w:r>
        <w:rPr>
          <w:rFonts w:hint="eastAsia"/>
          <w:lang w:val="en-US"/>
        </w:rPr>
        <w:t>省级、市级视频共享平台对接接口：采用符合《安全防范视频监控联网系统信息传输、交换、控制技术要求》(GB/T 28181-201)的视频监控联网标准协议，打通政府部门已建视频平台与岳阳市森林防火指挥调度中心预警监测平台的数据传输通道，实现视频流、告警信息、设备状态等数据的实时互通，采用级联对接，确保对接兼容性与稳定性。</w:t>
      </w:r>
    </w:p>
    <w:p w14:paraId="75B7DE43">
      <w:pPr>
        <w:ind w:firstLine="480"/>
        <w:rPr>
          <w:rFonts w:hint="eastAsia"/>
          <w:lang w:val="en-US"/>
        </w:rPr>
      </w:pPr>
      <w:r>
        <w:rPr>
          <w:rFonts w:hint="eastAsia"/>
          <w:lang w:val="en-US"/>
        </w:rPr>
        <w:t>其他视频平台对接接口：采用符合《安全防范视频监控联网系统信息传输、交换、控制技术要求》(GB/T 28181-201)的视频监控联网标准协议，将政府部门已建视频平台的实时视频查看、云台控制、GIS定位等功能与林业局平台功能模块对接，支持林业局工作人员通过自有平台直接调用现有监控资源；针对林业监测需求，优化多画面轮巡策略，重点设置林区火点、违规作业等场景的轮巡优先级。采用设备直连或平台级联。</w:t>
      </w:r>
    </w:p>
    <w:p w14:paraId="75B7DE44">
      <w:pPr>
        <w:ind w:firstLine="480"/>
        <w:rPr>
          <w:rFonts w:hint="default" w:eastAsia="仿宋_GB2312"/>
          <w:lang w:val="en-US" w:eastAsia="zh-CN"/>
        </w:rPr>
      </w:pPr>
      <w:r>
        <w:rPr>
          <w:rFonts w:hint="eastAsia"/>
          <w:lang w:val="en-US"/>
        </w:rPr>
        <w:t>预留物联感知、告警数据对接接口：预警监测视频管理平台在架构设计上具备前瞻性拓展能力，预留了物联感知设备数据接口、告警信息传输接口以及遥感卫星数据接入接口，可支持后续物联感知终端的实时数据采集、各类告警事件的联动响应及遥感卫星多源数据的融合分析，为森林资源监测、火情预警等业务的智能化升级与多源数据协同应用提供了灵活的扩展空间，助力构建全域化、多维度的林业监测感知体系</w:t>
      </w:r>
      <w:r>
        <w:rPr>
          <w:rFonts w:hint="eastAsia"/>
          <w:lang w:val="en-US" w:eastAsia="zh-CN"/>
        </w:rPr>
        <w:t>，方便后续需要，可与省级林业平台对接。</w:t>
      </w:r>
    </w:p>
    <w:p w14:paraId="75B7DE45">
      <w:pPr>
        <w:pStyle w:val="4"/>
        <w:rPr>
          <w:rFonts w:hint="eastAsia"/>
        </w:rPr>
      </w:pPr>
      <w:bookmarkStart w:id="145" w:name="_Toc28283"/>
      <w:r>
        <w:rPr>
          <w:rFonts w:hint="eastAsia"/>
        </w:rPr>
        <w:t>森林防火通信系统建设</w:t>
      </w:r>
      <w:bookmarkEnd w:id="145"/>
    </w:p>
    <w:p w14:paraId="75B7DE46">
      <w:pPr>
        <w:pStyle w:val="5"/>
      </w:pPr>
      <w:r>
        <w:rPr>
          <w:rFonts w:hint="eastAsia"/>
          <w:lang w:val="en-US"/>
        </w:rPr>
        <w:t>概述</w:t>
      </w:r>
    </w:p>
    <w:p w14:paraId="75B7DE47">
      <w:pPr>
        <w:ind w:firstLine="480"/>
        <w:rPr>
          <w:rFonts w:hint="eastAsia"/>
          <w:lang w:val="en-US"/>
        </w:rPr>
      </w:pPr>
      <w:r>
        <w:rPr>
          <w:rFonts w:hint="eastAsia"/>
          <w:lang w:val="en-US"/>
        </w:rPr>
        <w:t>建设集超短波、短波、卫星等多种通信手段为一体的机动通信系统。配备数字超短波固定基站、数字超短波移动基站、数字超短波背负台、应急通讯箱、车载台、语音网关、手持台（数字对讲机）各5台套，调度服务器、融合调度软件、网管软件各一套。</w:t>
      </w:r>
    </w:p>
    <w:p w14:paraId="75B7DE48">
      <w:pPr>
        <w:pStyle w:val="5"/>
      </w:pPr>
      <w:r>
        <w:rPr>
          <w:rFonts w:hint="eastAsia"/>
        </w:rPr>
        <w:t>自组网架构图</w:t>
      </w:r>
    </w:p>
    <w:p w14:paraId="75B7DE49">
      <w:pPr>
        <w:spacing w:line="240" w:lineRule="auto"/>
        <w:ind w:firstLine="0" w:firstLineChars="0"/>
        <w:rPr>
          <w:rFonts w:hint="eastAsia"/>
        </w:rPr>
      </w:pPr>
      <w:r>
        <w:rPr>
          <w:rFonts w:hint="eastAsia"/>
        </w:rPr>
        <w:object>
          <v:shape id="_x0000_i1025" o:spt="75" type="#_x0000_t75" style="height:221.15pt;width:414.75pt;" o:ole="t" filled="f" o:preferrelative="t" stroked="f" coordsize="21600,21600">
            <v:path/>
            <v:fill on="f" focussize="0,0"/>
            <v:stroke on="f" joinstyle="miter"/>
            <v:imagedata r:id="rId43" o:title=""/>
            <o:lock v:ext="edit" aspectratio="t"/>
            <w10:wrap type="none"/>
            <w10:anchorlock/>
          </v:shape>
          <o:OLEObject Type="Embed" ProgID="Visio.Drawing.15" ShapeID="_x0000_i1025" DrawAspect="Content" ObjectID="_1468075725" r:id="rId42">
            <o:LockedField>false</o:LockedField>
          </o:OLEObject>
        </w:object>
      </w:r>
    </w:p>
    <w:p w14:paraId="75B7DE4A">
      <w:pPr>
        <w:pStyle w:val="5"/>
      </w:pPr>
      <w:r>
        <w:rPr>
          <w:rFonts w:hint="eastAsia"/>
        </w:rPr>
        <w:t>语音自组网系统</w:t>
      </w:r>
      <w:r>
        <w:rPr>
          <w:rFonts w:hint="eastAsia"/>
          <w:lang w:val="en-US"/>
        </w:rPr>
        <w:t>组成</w:t>
      </w:r>
    </w:p>
    <w:p w14:paraId="75B7DE4B">
      <w:pPr>
        <w:ind w:firstLine="480"/>
        <w:rPr>
          <w:rFonts w:hint="eastAsia"/>
          <w:lang w:val="en-US"/>
        </w:rPr>
      </w:pPr>
      <w:r>
        <w:rPr>
          <w:rFonts w:hint="eastAsia"/>
          <w:lang w:val="en-US"/>
        </w:rPr>
        <w:t>自组网是一种自治、多跳的分布式网络，是由一组带有无线收发装置的固定或移动设备节点组成的无中心网络。自组网能够不依赖于基础网络设施（如有线链路、运营商网络）的情况下，提供终端之间的互相通信。由于终端的发射功率和无线覆盖范围有限，因此距离较远的两个终端需要借助其他节点进行通信转发，这样节点间就构成了无线多跳网络。自组网是可以不依赖人为操作自组织、自愈合、自转发的网络，网络中的各个节点相互协作完成信息交换，实现信息和服务共享。</w:t>
      </w:r>
    </w:p>
    <w:p w14:paraId="75B7DE4C">
      <w:pPr>
        <w:ind w:firstLine="480"/>
        <w:rPr>
          <w:rFonts w:hint="eastAsia"/>
          <w:lang w:val="en-US"/>
        </w:rPr>
      </w:pPr>
      <w:r>
        <w:rPr>
          <w:rFonts w:hint="eastAsia"/>
          <w:lang w:val="en-US"/>
        </w:rPr>
        <w:t>自组网系统主要由自组网固定台、车载台、背负台和对讲机组成，配合互联网关和调度平台，实现系统间互联互通和指挥调度功能。</w:t>
      </w:r>
    </w:p>
    <w:p w14:paraId="75B7DE4D">
      <w:pPr>
        <w:ind w:firstLine="480"/>
        <w:rPr>
          <w:rFonts w:hint="eastAsia"/>
          <w:lang w:val="en-US"/>
        </w:rPr>
      </w:pPr>
      <w:r>
        <w:rPr>
          <w:rFonts w:hint="eastAsia"/>
          <w:lang w:val="en-US"/>
        </w:rPr>
        <w:t>（1）自组网固定台（数字超短波固定基站）。通常架设在森林、草原消防辖区瞭望塔等高点位置</w:t>
      </w:r>
      <w:r>
        <w:rPr>
          <w:rFonts w:hint="eastAsia" w:ascii="仿宋_GB2312" w:hAnsi="仿宋_GB2312" w:cs="仿宋_GB2312"/>
          <w:lang w:val="en-US"/>
        </w:rPr>
        <w:t>，多个自组网固定站可采用相同的频率，以同频自组网方式构建通信链路，为自组网背负台和超短波对讲机提供通信中转。</w:t>
      </w:r>
    </w:p>
    <w:p w14:paraId="75B7DE4E">
      <w:pPr>
        <w:ind w:firstLine="480"/>
        <w:rPr>
          <w:rFonts w:hint="eastAsia"/>
          <w:lang w:val="en-US"/>
        </w:rPr>
      </w:pPr>
      <w:r>
        <w:rPr>
          <w:rFonts w:hint="eastAsia"/>
          <w:lang w:val="en-US"/>
        </w:rPr>
        <w:t>（2）自组网车载台（数字超短波移动基站）。通常部署在车辆或指挥所内。队伍摩托化行进期间，用于机动通信保障；队伍抵达任务地域后，用于指挥所通信保障。</w:t>
      </w:r>
    </w:p>
    <w:p w14:paraId="75B7DE4F">
      <w:pPr>
        <w:ind w:firstLine="480"/>
        <w:rPr>
          <w:rFonts w:hint="eastAsia"/>
          <w:lang w:val="en-US"/>
        </w:rPr>
      </w:pPr>
      <w:r>
        <w:rPr>
          <w:rFonts w:hint="eastAsia"/>
          <w:lang w:val="en-US"/>
        </w:rPr>
        <w:t>（3）自组网背负台（数字超短波背负台）。通常配属给任务分队，必要时也可临时替代自组网固定台部署架设在高点位置。自组网车载台、背负台可与自组网固定台实现自动联网，任务分队在对山谷、低洼处等遮挡严重的盲区环境行进时，可利用自组网背负台进行补点覆盖。</w:t>
      </w:r>
    </w:p>
    <w:p w14:paraId="75B7DE50">
      <w:pPr>
        <w:ind w:firstLine="480"/>
        <w:rPr>
          <w:rFonts w:hint="eastAsia"/>
          <w:lang w:val="en-US"/>
        </w:rPr>
      </w:pPr>
      <w:r>
        <w:rPr>
          <w:rFonts w:hint="eastAsia"/>
          <w:lang w:val="en-US"/>
        </w:rPr>
        <w:t>（4）应急通讯箱。通常用于放置数字超短波背负台。</w:t>
      </w:r>
    </w:p>
    <w:p w14:paraId="75B7DE51">
      <w:pPr>
        <w:ind w:firstLine="480"/>
        <w:rPr>
          <w:rFonts w:hint="eastAsia"/>
          <w:lang w:val="en-US"/>
        </w:rPr>
      </w:pPr>
      <w:r>
        <w:rPr>
          <w:rFonts w:hint="eastAsia"/>
          <w:lang w:val="en-US"/>
        </w:rPr>
        <w:t>（5）车载台。车载通信终端，具备中继转发功能。</w:t>
      </w:r>
    </w:p>
    <w:p w14:paraId="75B7DE52">
      <w:pPr>
        <w:ind w:firstLine="480"/>
        <w:rPr>
          <w:rFonts w:hint="eastAsia"/>
          <w:lang w:val="en-US"/>
        </w:rPr>
      </w:pPr>
      <w:r>
        <w:rPr>
          <w:rFonts w:hint="eastAsia"/>
          <w:lang w:val="en-US"/>
        </w:rPr>
        <w:t>（6）语音网关。用于不同通信系统（如应急、消防、武警等）之间的互联互通。</w:t>
      </w:r>
    </w:p>
    <w:p w14:paraId="75B7DE53">
      <w:pPr>
        <w:ind w:firstLine="480"/>
        <w:rPr>
          <w:rFonts w:hint="eastAsia"/>
          <w:lang w:val="en-US"/>
        </w:rPr>
      </w:pPr>
      <w:r>
        <w:rPr>
          <w:rFonts w:hint="eastAsia"/>
          <w:lang w:val="en-US"/>
        </w:rPr>
        <w:t>（7）手持台（数字对讲机）。手持通信终端，具备中继转发功能。</w:t>
      </w:r>
    </w:p>
    <w:p w14:paraId="75B7DE54">
      <w:pPr>
        <w:ind w:firstLine="480"/>
        <w:rPr>
          <w:rFonts w:hint="eastAsia"/>
          <w:lang w:val="en-US"/>
        </w:rPr>
      </w:pPr>
      <w:r>
        <w:rPr>
          <w:rFonts w:hint="eastAsia"/>
          <w:lang w:val="en-US"/>
        </w:rPr>
        <w:t>（8）调度系统。后方指挥部可视情建设调度管理平台，依托GIS信息系统查看自组网设备和对讲机所处位置。</w:t>
      </w:r>
    </w:p>
    <w:p w14:paraId="75B7DE55">
      <w:pPr>
        <w:ind w:firstLine="480"/>
        <w:rPr>
          <w:rFonts w:hint="eastAsia"/>
          <w:lang w:val="en-US"/>
        </w:rPr>
      </w:pPr>
      <w:r>
        <w:rPr>
          <w:rFonts w:hint="eastAsia"/>
          <w:lang w:val="en-US"/>
        </w:rPr>
        <w:t>（9）网管系统。网管系统可配置及查看自组网设备参数、链路、告警等信息。</w:t>
      </w:r>
    </w:p>
    <w:p w14:paraId="75B7DE56">
      <w:pPr>
        <w:ind w:firstLine="480"/>
        <w:rPr>
          <w:rFonts w:hint="eastAsia"/>
          <w:lang w:val="en-US"/>
        </w:rPr>
      </w:pPr>
      <w:r>
        <w:rPr>
          <w:rFonts w:hint="eastAsia"/>
          <w:lang w:val="en-US"/>
        </w:rPr>
        <w:t>（10）调度服务器。用于部署融合调度软件和网管系统的服务器设备。</w:t>
      </w:r>
    </w:p>
    <w:p w14:paraId="75B7DE57">
      <w:pPr>
        <w:ind w:firstLine="480"/>
        <w:rPr>
          <w:rFonts w:hint="eastAsia"/>
          <w:lang w:val="en-US"/>
        </w:rPr>
      </w:pPr>
      <w:r>
        <w:rPr>
          <w:rFonts w:hint="eastAsia"/>
          <w:lang w:val="en-US"/>
        </w:rPr>
        <w:t>语音自组网系统应能够在现场临时灵活组建窄带通讯网络系统，地面小区域内可使用的设备，无论有无市电、有无公网的应急事故区域快速一键开通，自组链路，并根据不同事故类型实现多种区域通讯覆盖的方案；在大型作业任务时，可能同时存在多个独立的作业现场，保障跨区域的应急通信。</w:t>
      </w:r>
    </w:p>
    <w:p w14:paraId="75B7DE58">
      <w:pPr>
        <w:ind w:firstLine="480"/>
        <w:rPr>
          <w:rFonts w:hint="eastAsia"/>
          <w:lang w:val="en-US"/>
        </w:rPr>
      </w:pPr>
      <w:r>
        <w:rPr>
          <w:rFonts w:hint="eastAsia"/>
          <w:lang w:val="en-US"/>
        </w:rPr>
        <w:t>语音自组网方案可结合常规和集群的优点，既具备常规系统搭建方便、组网成本低的优点，又克服常规系统下信道利用率低，分组呼叫单一化的弱点。系统可以像集群系统一样，实现网络内常规信道的信道共享，提升整体系统容量及信道的使用率。</w:t>
      </w:r>
    </w:p>
    <w:p w14:paraId="75B7DE59">
      <w:pPr>
        <w:ind w:firstLine="480"/>
        <w:rPr>
          <w:rFonts w:hint="eastAsia"/>
          <w:lang w:val="en-US"/>
        </w:rPr>
      </w:pPr>
      <w:r>
        <w:rPr>
          <w:rFonts w:hint="eastAsia"/>
          <w:lang w:val="en-US"/>
        </w:rPr>
        <w:t>语音自组网系统应具备组建部署速度快、覆盖地形适应性强、盲区增补覆盖灵活度高、通讯区域移动性好、即可小区域性应急语音通信亦可实现大区域语音通信保障等特点。</w:t>
      </w:r>
    </w:p>
    <w:p w14:paraId="75B7DE5A">
      <w:pPr>
        <w:ind w:firstLine="480"/>
        <w:rPr>
          <w:rFonts w:hint="eastAsia"/>
          <w:lang w:val="en-US"/>
        </w:rPr>
      </w:pPr>
      <w:r>
        <w:rPr>
          <w:rFonts w:hint="eastAsia"/>
          <w:lang w:val="en-US"/>
        </w:rPr>
        <w:t>语音自组网电台的组网应满足分布式、自组织结构，即自组网电台的各个节点之间通信会找到最优的通信链路传送数据，形成环网结构。其基本组网结构如下图：</w:t>
      </w:r>
    </w:p>
    <w:p w14:paraId="75B7DE5B">
      <w:pPr>
        <w:ind w:firstLine="480"/>
        <w:rPr>
          <w:rFonts w:hint="eastAsia"/>
          <w:lang w:val="en-US"/>
        </w:rPr>
      </w:pPr>
      <w:r>
        <w:rPr>
          <w:rFonts w:hint="eastAsia"/>
          <w:lang w:val="en-US"/>
        </w:rPr>
        <w:t>语音自组网设备可根据实际通信环境组成不同拓扑结构的网络。语音自组网应支持链型拓扑、星型拓扑、树形拓扑、网型拓扑以及混合型拓扑结构，如下图所示。</w:t>
      </w:r>
    </w:p>
    <w:p w14:paraId="75B7DE5C">
      <w:pPr>
        <w:spacing w:line="240" w:lineRule="auto"/>
        <w:ind w:left="-2" w:leftChars="-59" w:hanging="140" w:hangingChars="50"/>
        <w:rPr>
          <w:rFonts w:hint="eastAsia"/>
          <w:lang w:val="en-US"/>
        </w:rPr>
      </w:pPr>
      <w:r>
        <w:rPr>
          <w:rFonts w:hint="eastAsia" w:ascii="方正仿宋_GB2312" w:hAnsi="方正仿宋_GB2312" w:eastAsia="方正仿宋_GB2312" w:cs="方正仿宋_GB2312"/>
          <w:sz w:val="28"/>
          <w:szCs w:val="28"/>
        </w:rPr>
        <w:drawing>
          <wp:inline distT="0" distB="0" distL="114300" distR="114300">
            <wp:extent cx="5274310" cy="1758315"/>
            <wp:effectExtent l="0" t="0" r="8890" b="6985"/>
            <wp:docPr id="47" name="图片 47" descr="678147a5-6ece-4444-87a0-eb1b25f46f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678147a5-6ece-4444-87a0-eb1b25f46f5c"/>
                    <pic:cNvPicPr>
                      <a:picLocks noChangeAspect="1"/>
                    </pic:cNvPicPr>
                  </pic:nvPicPr>
                  <pic:blipFill>
                    <a:blip r:embed="rId44"/>
                    <a:stretch>
                      <a:fillRect/>
                    </a:stretch>
                  </pic:blipFill>
                  <pic:spPr>
                    <a:xfrm>
                      <a:off x="0" y="0"/>
                      <a:ext cx="5274310" cy="1758315"/>
                    </a:xfrm>
                    <a:prstGeom prst="rect">
                      <a:avLst/>
                    </a:prstGeom>
                  </pic:spPr>
                </pic:pic>
              </a:graphicData>
            </a:graphic>
          </wp:inline>
        </w:drawing>
      </w:r>
    </w:p>
    <w:p w14:paraId="75B7DE5D">
      <w:pPr>
        <w:ind w:firstLine="480"/>
        <w:rPr>
          <w:rFonts w:hint="eastAsia"/>
          <w:lang w:val="en-US"/>
        </w:rPr>
      </w:pPr>
      <w:r>
        <w:rPr>
          <w:rFonts w:hint="eastAsia"/>
          <w:lang w:val="en-US"/>
        </w:rPr>
        <w:t>语音自组网系统应适用于各种外场环境，防护等级高，携带方便，可与公网、卫星网等多种网络通过网关互通，将方式将现场语音和数据回传至后方指挥中心。同时现场自组网通过融合通信平台或一体化通信指挥平台互联互通，实现一个调度台对不同网络的指挥通信，多样化应急通信手段，提升现场通信指挥效率。针对机动语音通讯需求，语音自组网台做大区域全覆盖，能够保证语音通信，语音调度和定位。</w:t>
      </w:r>
    </w:p>
    <w:p w14:paraId="75B7DE5E">
      <w:pPr>
        <w:pStyle w:val="5"/>
      </w:pPr>
      <w:r>
        <w:rPr>
          <w:rFonts w:hint="eastAsia"/>
        </w:rPr>
        <w:t>语音自组网组网架构</w:t>
      </w:r>
    </w:p>
    <w:p w14:paraId="75B7DE5F">
      <w:pPr>
        <w:ind w:firstLine="480"/>
        <w:rPr>
          <w:rFonts w:hint="eastAsia"/>
          <w:lang w:val="en-US"/>
        </w:rPr>
      </w:pPr>
      <w:r>
        <w:rPr>
          <w:rFonts w:hint="eastAsia"/>
          <w:lang w:val="en-US"/>
        </w:rPr>
        <w:t>可在岳阳市本级、平江县、岳阳县、临湘市、汨罗市的现有信息资源上共建设5套功率较大的双通道自组网固定台形成林区基础固定覆盖网，同时保障车辆安装部署1套自组网车载台，任务分队配备1套自组网背负台，形成应急移动网，构建“固移结合”的超短波无线通信网络。</w:t>
      </w:r>
    </w:p>
    <w:p w14:paraId="75B7DE60">
      <w:pPr>
        <w:ind w:firstLine="480"/>
        <w:rPr>
          <w:rFonts w:hint="eastAsia"/>
          <w:lang w:val="en-US"/>
        </w:rPr>
      </w:pPr>
      <w:r>
        <w:rPr>
          <w:rFonts w:hint="eastAsia"/>
          <w:lang w:val="en-US"/>
        </w:rPr>
        <w:t>分队内战斗网直通或单频中继，分队与分队及各级指挥间自组网通信，主要队员使用PDT手持台加入自组网内使用，对讲机通过扫描，可自动监听不同呼叫，分级指挥、分级调度。</w:t>
      </w:r>
    </w:p>
    <w:p w14:paraId="75B7DE61">
      <w:pPr>
        <w:ind w:firstLine="480"/>
        <w:rPr>
          <w:rFonts w:hint="eastAsia"/>
          <w:lang w:val="en-US"/>
        </w:rPr>
      </w:pPr>
      <w:r>
        <w:rPr>
          <w:rFonts w:hint="eastAsia"/>
          <w:lang w:val="en-US"/>
        </w:rPr>
        <w:t>基站的自组网固定台主要用于提供自组网链路，确保信号的多跳中转。可选择林区内架设自组网固定台。林区的自组网固定台经多跳后可以与自组网固定台进行通信。自组网固定台作为通信节点，可接入与地面IP有线链路，实现与其他通信网络互联互通。</w:t>
      </w:r>
    </w:p>
    <w:p w14:paraId="75B7DE62">
      <w:pPr>
        <w:ind w:firstLine="480"/>
        <w:rPr>
          <w:rFonts w:hint="eastAsia"/>
          <w:lang w:val="en-US"/>
        </w:rPr>
      </w:pPr>
      <w:r>
        <w:rPr>
          <w:rFonts w:hint="eastAsia"/>
          <w:lang w:val="en-US"/>
        </w:rPr>
        <w:t>在岳阳市本级、平江县、岳阳县、临湘市、汨罗市共固定部署5套语音自组网分布在市县行政境内，站点可以通过有线或运营商公网CPE实现IP组网，主要用于护林员网格化的日常巡护。</w:t>
      </w:r>
    </w:p>
    <w:p w14:paraId="75B7DE63">
      <w:pPr>
        <w:ind w:firstLine="480"/>
        <w:rPr>
          <w:rFonts w:hint="eastAsia"/>
          <w:lang w:val="en-US"/>
        </w:rPr>
      </w:pPr>
      <w:r>
        <w:rPr>
          <w:rFonts w:hint="eastAsia"/>
          <w:lang w:val="en-US"/>
        </w:rPr>
        <w:t>地市本部中心部署业务调度管理系统。</w:t>
      </w:r>
    </w:p>
    <w:p w14:paraId="75B7DE64">
      <w:pPr>
        <w:pStyle w:val="5"/>
      </w:pPr>
      <w:r>
        <w:rPr>
          <w:rFonts w:hint="eastAsia"/>
          <w:lang w:val="en-US"/>
        </w:rPr>
        <w:t>功能介绍</w:t>
      </w:r>
    </w:p>
    <w:p w14:paraId="75B7DE65">
      <w:pPr>
        <w:ind w:firstLine="480"/>
        <w:rPr>
          <w:rFonts w:hint="eastAsia"/>
          <w:lang w:val="en-US"/>
        </w:rPr>
      </w:pPr>
      <w:r>
        <w:rPr>
          <w:rFonts w:hint="eastAsia"/>
          <w:lang w:val="en-US"/>
        </w:rPr>
        <w:t>超短波固定基站包含网络调度及管理平台，基站，终端、天馈及周边互联互通设备组成，各固定基站通过IP链路互联，固定基站之间的语音、数据和控制信令传输至调度服务器和网关，实现统一管理和调度功能。</w:t>
      </w:r>
    </w:p>
    <w:p w14:paraId="75B7DE66">
      <w:pPr>
        <w:ind w:firstLine="480"/>
        <w:rPr>
          <w:rFonts w:hint="eastAsia"/>
          <w:lang w:val="en-US"/>
        </w:rPr>
      </w:pPr>
      <w:r>
        <w:rPr>
          <w:rFonts w:hint="eastAsia"/>
          <w:lang w:val="en-US"/>
        </w:rPr>
        <w:t>超短波固定基站系统和调度台、网管软件等一起可以实现更好地调度和管理。可以实现语音调度、短信、定位、分权调度、报表统计、全网设备性能扫描、运行状态观察、告警故障诊断、远程控制管理等更加丰富、便捷的功能。</w:t>
      </w:r>
    </w:p>
    <w:p w14:paraId="75B7DE67">
      <w:pPr>
        <w:pStyle w:val="6"/>
        <w:ind w:firstLine="480"/>
        <w:rPr>
          <w:rFonts w:hint="eastAsia"/>
        </w:rPr>
      </w:pPr>
      <w:r>
        <w:rPr>
          <w:rFonts w:hint="eastAsia"/>
          <w:lang w:val="en-US"/>
        </w:rPr>
        <w:t>核心通信</w:t>
      </w:r>
      <w:r>
        <w:rPr>
          <w:rFonts w:hint="eastAsia"/>
        </w:rPr>
        <w:t>功能</w:t>
      </w:r>
    </w:p>
    <w:p w14:paraId="75B7DE68">
      <w:pPr>
        <w:ind w:firstLine="480"/>
        <w:rPr>
          <w:rFonts w:hint="eastAsia"/>
          <w:lang w:val="en-US"/>
        </w:rPr>
      </w:pPr>
      <w:r>
        <w:rPr>
          <w:rFonts w:hint="eastAsia"/>
          <w:lang w:val="en-US"/>
        </w:rPr>
        <w:t>一、语音通讯</w:t>
      </w:r>
    </w:p>
    <w:p w14:paraId="75B7DE69">
      <w:pPr>
        <w:ind w:firstLine="480"/>
        <w:rPr>
          <w:rFonts w:hint="eastAsia"/>
          <w:lang w:val="en-US"/>
        </w:rPr>
      </w:pPr>
      <w:r>
        <w:rPr>
          <w:rFonts w:hint="eastAsia"/>
          <w:lang w:val="en-US"/>
        </w:rPr>
        <w:t>（1）个呼</w:t>
      </w:r>
    </w:p>
    <w:p w14:paraId="75B7DE6A">
      <w:pPr>
        <w:ind w:firstLine="480"/>
        <w:rPr>
          <w:rFonts w:hint="eastAsia"/>
          <w:lang w:val="en-US"/>
        </w:rPr>
      </w:pPr>
      <w:r>
        <w:rPr>
          <w:rFonts w:hint="eastAsia"/>
          <w:lang w:val="en-US"/>
        </w:rPr>
        <w:t>终端可发起个人对个人呼叫，呼叫类型包括有确认单呼和无确认单呼。</w:t>
      </w:r>
    </w:p>
    <w:p w14:paraId="75B7DE6B">
      <w:pPr>
        <w:ind w:firstLine="480"/>
        <w:rPr>
          <w:rFonts w:hint="eastAsia"/>
          <w:lang w:val="en-US"/>
        </w:rPr>
      </w:pPr>
      <w:r>
        <w:rPr>
          <w:rFonts w:hint="eastAsia"/>
          <w:lang w:val="en-US"/>
        </w:rPr>
        <w:t>（2）组呼</w:t>
      </w:r>
    </w:p>
    <w:p w14:paraId="75B7DE6C">
      <w:pPr>
        <w:ind w:firstLine="480"/>
        <w:rPr>
          <w:rFonts w:hint="eastAsia"/>
          <w:lang w:val="en-US"/>
        </w:rPr>
      </w:pPr>
      <w:r>
        <w:rPr>
          <w:rFonts w:hint="eastAsia"/>
          <w:lang w:val="en-US"/>
        </w:rPr>
        <w:t>系统支持组呼功能，由一个终端发起，预设定的多个终端参与，点对多点的语音呼叫，以满足不同业务单位的工作组划分。</w:t>
      </w:r>
    </w:p>
    <w:p w14:paraId="75B7DE6D">
      <w:pPr>
        <w:ind w:firstLine="480"/>
        <w:rPr>
          <w:rFonts w:hint="eastAsia"/>
          <w:lang w:val="en-US"/>
        </w:rPr>
      </w:pPr>
      <w:r>
        <w:rPr>
          <w:rFonts w:hint="eastAsia"/>
          <w:lang w:val="en-US"/>
        </w:rPr>
        <w:t>（3）全呼</w:t>
      </w:r>
    </w:p>
    <w:p w14:paraId="75B7DE6E">
      <w:pPr>
        <w:ind w:firstLine="480"/>
        <w:rPr>
          <w:rFonts w:hint="eastAsia"/>
          <w:lang w:val="en-US"/>
        </w:rPr>
      </w:pPr>
      <w:r>
        <w:rPr>
          <w:rFonts w:hint="eastAsia"/>
          <w:lang w:val="en-US"/>
        </w:rPr>
        <w:t>用户可以通过高级别的对讲机在当前所在信道下发统一的全呼码，当前信道下的所有群组的对讲终端均可以接收呼叫信息。</w:t>
      </w:r>
    </w:p>
    <w:p w14:paraId="75B7DE6F">
      <w:pPr>
        <w:ind w:firstLine="480"/>
        <w:rPr>
          <w:rFonts w:hint="eastAsia"/>
          <w:lang w:val="en-US"/>
        </w:rPr>
      </w:pPr>
      <w:r>
        <w:rPr>
          <w:rFonts w:hint="eastAsia"/>
          <w:lang w:val="en-US"/>
        </w:rPr>
        <w:t>（4）紧急呼叫</w:t>
      </w:r>
    </w:p>
    <w:p w14:paraId="75B7DE70">
      <w:pPr>
        <w:ind w:firstLine="480"/>
        <w:rPr>
          <w:rFonts w:hint="eastAsia"/>
          <w:lang w:val="en-US"/>
        </w:rPr>
      </w:pPr>
      <w:r>
        <w:rPr>
          <w:rFonts w:hint="eastAsia"/>
          <w:lang w:val="en-US"/>
        </w:rPr>
        <w:t>用户在紧急情况下发起的一种特殊呼叫，具备最高优先级。</w:t>
      </w:r>
    </w:p>
    <w:p w14:paraId="75B7DE71">
      <w:pPr>
        <w:ind w:firstLine="480"/>
        <w:rPr>
          <w:rFonts w:hint="eastAsia"/>
          <w:lang w:val="en-US"/>
        </w:rPr>
      </w:pPr>
      <w:r>
        <w:rPr>
          <w:rFonts w:hint="eastAsia"/>
          <w:lang w:val="en-US"/>
        </w:rPr>
        <w:t>二、短消息</w:t>
      </w:r>
    </w:p>
    <w:p w14:paraId="75B7DE72">
      <w:pPr>
        <w:ind w:firstLine="480"/>
        <w:rPr>
          <w:rFonts w:hint="eastAsia"/>
          <w:lang w:val="en-US"/>
        </w:rPr>
      </w:pPr>
      <w:r>
        <w:rPr>
          <w:rFonts w:hint="eastAsia"/>
          <w:lang w:val="en-US"/>
        </w:rPr>
        <w:t>系统支持对讲机终端收发文本短消息功能，对讲机终端可收发文本短消息，包括组短信与点对点短信，短信内容包括手动编辑或者使用模板短消息。</w:t>
      </w:r>
    </w:p>
    <w:p w14:paraId="75B7DE73">
      <w:pPr>
        <w:ind w:firstLine="480"/>
        <w:rPr>
          <w:rFonts w:hint="eastAsia"/>
          <w:lang w:val="en-US"/>
        </w:rPr>
      </w:pPr>
      <w:r>
        <w:rPr>
          <w:rFonts w:hint="eastAsia"/>
          <w:lang w:val="en-US"/>
        </w:rPr>
        <w:t>（1）个呼短消息</w:t>
      </w:r>
    </w:p>
    <w:p w14:paraId="75B7DE74">
      <w:pPr>
        <w:ind w:firstLine="480"/>
        <w:rPr>
          <w:rFonts w:hint="eastAsia"/>
          <w:lang w:val="en-US"/>
        </w:rPr>
      </w:pPr>
      <w:r>
        <w:rPr>
          <w:rFonts w:hint="eastAsia"/>
          <w:lang w:val="en-US"/>
        </w:rPr>
        <w:t>终端可发起个人对个人短消息，呼叫类型包括有确认单呼和无确认单呼。</w:t>
      </w:r>
    </w:p>
    <w:p w14:paraId="75B7DE75">
      <w:pPr>
        <w:ind w:firstLine="480"/>
        <w:rPr>
          <w:rFonts w:hint="eastAsia"/>
          <w:lang w:val="en-US"/>
        </w:rPr>
      </w:pPr>
      <w:r>
        <w:rPr>
          <w:rFonts w:hint="eastAsia"/>
          <w:lang w:val="en-US"/>
        </w:rPr>
        <w:t>（2）组呼短消息</w:t>
      </w:r>
    </w:p>
    <w:p w14:paraId="75B7DE76">
      <w:pPr>
        <w:ind w:firstLine="480"/>
        <w:rPr>
          <w:rFonts w:hint="eastAsia"/>
          <w:lang w:val="en-US"/>
        </w:rPr>
      </w:pPr>
      <w:r>
        <w:rPr>
          <w:rFonts w:hint="eastAsia"/>
          <w:lang w:val="en-US"/>
        </w:rPr>
        <w:t>系统支持组呼短消息功能，由一个终端发起，预设定的多个终端参与，点对多点的短消息通信。</w:t>
      </w:r>
    </w:p>
    <w:p w14:paraId="75B7DE77">
      <w:pPr>
        <w:ind w:firstLine="480"/>
        <w:rPr>
          <w:rFonts w:hint="eastAsia"/>
          <w:lang w:val="en-US"/>
        </w:rPr>
      </w:pPr>
      <w:r>
        <w:rPr>
          <w:rFonts w:hint="eastAsia"/>
          <w:lang w:val="en-US"/>
        </w:rPr>
        <w:t>三、优先呼叫</w:t>
      </w:r>
    </w:p>
    <w:p w14:paraId="75B7DE78">
      <w:pPr>
        <w:ind w:firstLine="480"/>
        <w:rPr>
          <w:rFonts w:hint="eastAsia"/>
          <w:lang w:val="en-US"/>
        </w:rPr>
      </w:pPr>
      <w:r>
        <w:rPr>
          <w:rFonts w:hint="eastAsia"/>
          <w:lang w:val="en-US"/>
        </w:rPr>
        <w:t>优先呼叫是一种优先级比普通呼叫更高的呼叫。在接收低优先级的呼叫时，若检测到站内有更高优先级的呼叫，对讲机将结束低优先级的呼叫，然后接入高优先级的呼叫。</w:t>
      </w:r>
    </w:p>
    <w:p w14:paraId="75B7DE79">
      <w:pPr>
        <w:ind w:firstLine="480"/>
        <w:rPr>
          <w:rFonts w:hint="eastAsia"/>
          <w:lang w:val="en-US"/>
        </w:rPr>
      </w:pPr>
      <w:r>
        <w:rPr>
          <w:rFonts w:hint="eastAsia"/>
          <w:lang w:val="en-US"/>
        </w:rPr>
        <w:t>业务优先级按照由高到低分为高优先级（紧急呼叫，紧急报警），普通优先级（普通呼叫），和低优先级（数据业务，在线检测，呼叫提示，终端注册，遥晕/遥醒），高优先级可抢占低优先级。其中最高优先级之间，以及低优先级之间，按照先到先发，后到丢弃的原则抢占；普通呼叫根据呼叫来源（调度台呼叫、本地中转、IP互联呼叫）确定不同的优先级，不同来源之间的优先级顺序可通过写频配置。</w:t>
      </w:r>
    </w:p>
    <w:p w14:paraId="75B7DE7A">
      <w:pPr>
        <w:ind w:firstLine="480"/>
        <w:rPr>
          <w:rFonts w:hint="eastAsia"/>
          <w:lang w:val="en-US"/>
        </w:rPr>
      </w:pPr>
      <w:r>
        <w:rPr>
          <w:rFonts w:hint="eastAsia"/>
          <w:lang w:val="en-US"/>
        </w:rPr>
        <w:t>四、补充数据业务</w:t>
      </w:r>
    </w:p>
    <w:p w14:paraId="75B7DE7B">
      <w:pPr>
        <w:ind w:firstLine="480"/>
        <w:rPr>
          <w:rFonts w:hint="eastAsia"/>
          <w:lang w:val="en-US"/>
        </w:rPr>
      </w:pPr>
      <w:r>
        <w:rPr>
          <w:rFonts w:hint="eastAsia"/>
          <w:lang w:val="en-US"/>
        </w:rPr>
        <w:t>调度系统支持丰富的补充数据业务功能，包括对讲机检查，呼叫提示，遥晕/遥醒。用户可以通过配置可编程按键或通过终端菜单发起补充数据业务。</w:t>
      </w:r>
    </w:p>
    <w:p w14:paraId="75B7DE7C">
      <w:pPr>
        <w:ind w:firstLine="480"/>
        <w:rPr>
          <w:rFonts w:hint="eastAsia"/>
          <w:lang w:val="en-US"/>
        </w:rPr>
      </w:pPr>
      <w:r>
        <w:rPr>
          <w:rFonts w:hint="eastAsia"/>
          <w:lang w:val="en-US"/>
        </w:rPr>
        <w:t>对讲机检查：用户可以通过对讲机对目标对讲机发起通讯有效检测，从而确认本机是否可以与目标对讲机建立有效的语音通信或其他指令性通信。目标对讲在被检测时，除LED指示灯提示接收状态外，不会出现任何其他指示。</w:t>
      </w:r>
    </w:p>
    <w:p w14:paraId="75B7DE7D">
      <w:pPr>
        <w:ind w:firstLine="480"/>
        <w:rPr>
          <w:rFonts w:hint="eastAsia"/>
          <w:lang w:val="en-US"/>
        </w:rPr>
      </w:pPr>
      <w:r>
        <w:rPr>
          <w:rFonts w:hint="eastAsia"/>
          <w:lang w:val="en-US"/>
        </w:rPr>
        <w:t>呼叫提示：当发射方担心接收方可能处于忙碌状态而忽略对讲通信接收到的信息时，发射方可以通过呼叫提示功能向接收方发出呼叫指令，接收方在收到呼叫提示指令后，接收对讲机将会通过提示音、振动、LED指示或LCD显示等方式提示用户，直到用户清除掉呼叫提示或直接回复发射方。接收方清除呼叫提示后，发射方也可以收到呼叫提示成功的指示。</w:t>
      </w:r>
    </w:p>
    <w:p w14:paraId="75B7DE7E">
      <w:pPr>
        <w:ind w:firstLine="480"/>
        <w:rPr>
          <w:rFonts w:hint="eastAsia"/>
          <w:lang w:val="en-US"/>
        </w:rPr>
      </w:pPr>
      <w:r>
        <w:rPr>
          <w:rFonts w:hint="eastAsia"/>
          <w:lang w:val="en-US"/>
        </w:rPr>
        <w:t>五、本地接入管理</w:t>
      </w:r>
    </w:p>
    <w:p w14:paraId="75B7DE7F">
      <w:pPr>
        <w:ind w:firstLine="480"/>
        <w:rPr>
          <w:rFonts w:hint="eastAsia"/>
          <w:lang w:val="en-US"/>
        </w:rPr>
      </w:pPr>
      <w:r>
        <w:rPr>
          <w:rFonts w:hint="eastAsia"/>
          <w:lang w:val="en-US"/>
        </w:rPr>
        <w:t>中转台的本地接入管理，使整个系统下所有中转台通过判断终端的ID信息，严格管理所接入终端的合法性。启用接入管理后，所有合法接入本地基站的终端ID信息需集中在对应基站中转台设备中进行配置，用户也需严格管理合法接入终端的ID信息。对于不符合基站中已配置的合法终端ID列表的终端设备，本地基站将拒绝其在该系统下的所有通信业务。</w:t>
      </w:r>
    </w:p>
    <w:p w14:paraId="75B7DE80">
      <w:pPr>
        <w:ind w:firstLine="480"/>
        <w:rPr>
          <w:rFonts w:hint="eastAsia"/>
          <w:lang w:val="en-US"/>
        </w:rPr>
      </w:pPr>
      <w:r>
        <w:rPr>
          <w:rFonts w:hint="eastAsia"/>
          <w:lang w:val="en-US"/>
        </w:rPr>
        <w:t>六、话权抢占</w:t>
      </w:r>
    </w:p>
    <w:p w14:paraId="75B7DE81">
      <w:pPr>
        <w:ind w:firstLine="480"/>
        <w:rPr>
          <w:rFonts w:hint="eastAsia"/>
          <w:lang w:val="en-US"/>
        </w:rPr>
      </w:pPr>
      <w:r>
        <w:rPr>
          <w:rFonts w:hint="eastAsia"/>
          <w:lang w:val="en-US"/>
        </w:rPr>
        <w:t>话权抢占，可以使在单次对讲通信时，处于接收状态的高优先级用户，不用等待发射方语音结束，直接通过按PTT按键发起组内对讲，原发射方的发射状态将同时被强行中止进入接收状态，以确保组内的高优先级用户能够及时根据实际工作需要传递重要信息。</w:t>
      </w:r>
    </w:p>
    <w:p w14:paraId="75B7DE82">
      <w:pPr>
        <w:ind w:firstLine="480"/>
        <w:rPr>
          <w:rFonts w:hint="eastAsia"/>
          <w:lang w:val="en-US"/>
        </w:rPr>
      </w:pPr>
      <w:r>
        <w:rPr>
          <w:rFonts w:hint="eastAsia"/>
          <w:lang w:val="en-US"/>
        </w:rPr>
        <w:t>七、语音优先打断</w:t>
      </w:r>
    </w:p>
    <w:p w14:paraId="75B7DE83">
      <w:pPr>
        <w:ind w:firstLine="480"/>
        <w:rPr>
          <w:rFonts w:hint="eastAsia"/>
          <w:lang w:val="en-US"/>
        </w:rPr>
      </w:pPr>
      <w:r>
        <w:rPr>
          <w:rFonts w:hint="eastAsia"/>
          <w:lang w:val="en-US"/>
        </w:rPr>
        <w:t>多个群组共用同一载频时隙时，在繁忙时段容易出现时隙通道拥塞占用，语音优先打断可以为高优先级用户清空占用所在载频时隙下的当前通讯，释放现有载频时隙通道，确保高优先级用户优先使用该信道资源。</w:t>
      </w:r>
    </w:p>
    <w:p w14:paraId="75B7DE84">
      <w:pPr>
        <w:ind w:firstLine="480"/>
        <w:rPr>
          <w:rFonts w:hint="eastAsia"/>
          <w:lang w:val="en-US"/>
        </w:rPr>
      </w:pPr>
      <w:r>
        <w:rPr>
          <w:rFonts w:hint="eastAsia"/>
          <w:lang w:val="en-US"/>
        </w:rPr>
        <w:t>八、加密</w:t>
      </w:r>
    </w:p>
    <w:p w14:paraId="75B7DE85">
      <w:pPr>
        <w:ind w:firstLine="480"/>
        <w:rPr>
          <w:rFonts w:hint="eastAsia"/>
          <w:lang w:val="en-US"/>
        </w:rPr>
      </w:pPr>
      <w:r>
        <w:rPr>
          <w:rFonts w:hint="eastAsia"/>
          <w:lang w:val="en-US"/>
        </w:rPr>
        <w:t>本系统支持通信的端到端加密功能，该加密功能涉及终端之间通信加密、中转台加密；</w:t>
      </w:r>
    </w:p>
    <w:p w14:paraId="75B7DE86">
      <w:pPr>
        <w:ind w:firstLine="480"/>
        <w:rPr>
          <w:rFonts w:hint="eastAsia"/>
          <w:lang w:val="en-US"/>
        </w:rPr>
      </w:pPr>
      <w:r>
        <w:rPr>
          <w:rFonts w:hint="eastAsia"/>
          <w:lang w:val="en-US"/>
        </w:rPr>
        <w:t>终端与终端的加密通信，可直接在终端上配置加密密钥，固定站忽略加密通信内容，不参与该通信直接进行本地或跨站转发。</w:t>
      </w:r>
    </w:p>
    <w:p w14:paraId="75B7DE87">
      <w:pPr>
        <w:ind w:firstLine="480"/>
        <w:rPr>
          <w:rFonts w:hint="eastAsia"/>
          <w:lang w:val="en-US"/>
        </w:rPr>
      </w:pPr>
      <w:r>
        <w:rPr>
          <w:rFonts w:hint="eastAsia"/>
          <w:lang w:val="en-US"/>
        </w:rPr>
        <w:t>固定站可配置加密密钥参与加密通信，通过中转台的密钥配置，调度台与终端可相互进行加密互通。</w:t>
      </w:r>
    </w:p>
    <w:p w14:paraId="75B7DE88">
      <w:pPr>
        <w:ind w:firstLine="480"/>
        <w:rPr>
          <w:rFonts w:hint="eastAsia"/>
          <w:lang w:val="en-US"/>
        </w:rPr>
      </w:pPr>
      <w:r>
        <w:rPr>
          <w:rFonts w:hint="eastAsia"/>
          <w:lang w:val="en-US"/>
        </w:rPr>
        <w:t>九、PoC集群系统的融合</w:t>
      </w:r>
    </w:p>
    <w:p w14:paraId="75B7DE89">
      <w:pPr>
        <w:ind w:firstLine="480"/>
        <w:rPr>
          <w:rFonts w:hint="eastAsia"/>
          <w:lang w:val="en-US"/>
        </w:rPr>
      </w:pPr>
      <w:r>
        <w:rPr>
          <w:rFonts w:hint="eastAsia"/>
          <w:lang w:val="en-US"/>
        </w:rPr>
        <w:t>系统支持PoC终端设备语音互联互通，PoC终端通过运营商4G/5G网络，实现专网系统和宽带PoC系统的融合，实现两个系统终端设备的互联互通，不仅可以实现语音和数据业务的互通，也可以在调度平台上实现两个系统终端设备的统一调度，实现录音回放，轨迹查询等功能。</w:t>
      </w:r>
    </w:p>
    <w:p w14:paraId="75B7DE8A">
      <w:pPr>
        <w:pStyle w:val="6"/>
        <w:ind w:firstLine="480"/>
        <w:rPr>
          <w:rFonts w:hint="eastAsia"/>
        </w:rPr>
      </w:pPr>
      <w:r>
        <w:rPr>
          <w:rFonts w:hint="eastAsia"/>
        </w:rPr>
        <w:t>调度业务平台功能</w:t>
      </w:r>
    </w:p>
    <w:p w14:paraId="75B7DE8B">
      <w:pPr>
        <w:ind w:firstLine="480"/>
        <w:rPr>
          <w:rFonts w:hint="eastAsia"/>
          <w:lang w:val="en-US"/>
        </w:rPr>
      </w:pPr>
      <w:r>
        <w:rPr>
          <w:rFonts w:hint="eastAsia"/>
          <w:lang w:val="en-US"/>
        </w:rPr>
        <w:t>一、终端上下线登记</w:t>
      </w:r>
    </w:p>
    <w:p w14:paraId="75B7DE8C">
      <w:pPr>
        <w:ind w:firstLine="480"/>
        <w:rPr>
          <w:rFonts w:hint="eastAsia"/>
          <w:lang w:val="en-US"/>
        </w:rPr>
      </w:pPr>
      <w:r>
        <w:rPr>
          <w:rFonts w:hint="eastAsia"/>
          <w:lang w:val="en-US"/>
        </w:rPr>
        <w:t>终端上下线登记功能，使网络下的所有终端在开机或者切换至新的中转台时向调度服务器进行上线登记，调度员通过调度客户端软件可以直接查看到终端当前的上线登记状态。终端关机时向调度服务器发送下线通知，调度界面的终端状态显示为下线。如果终端长时间处于系统的有效通讯范围之外，在一定周期后，调度平台将认定终端异常下线。</w:t>
      </w:r>
    </w:p>
    <w:p w14:paraId="75B7DE8D">
      <w:pPr>
        <w:ind w:firstLine="480"/>
        <w:rPr>
          <w:rFonts w:hint="eastAsia"/>
          <w:lang w:val="en-US"/>
        </w:rPr>
      </w:pPr>
      <w:r>
        <w:rPr>
          <w:rFonts w:hint="eastAsia"/>
          <w:lang w:val="en-US"/>
        </w:rPr>
        <w:t>二、中转台上下线登记</w:t>
      </w:r>
    </w:p>
    <w:p w14:paraId="75B7DE8E">
      <w:pPr>
        <w:ind w:firstLine="480"/>
        <w:rPr>
          <w:rFonts w:hint="eastAsia"/>
          <w:lang w:val="en-US"/>
        </w:rPr>
      </w:pPr>
      <w:r>
        <w:rPr>
          <w:rFonts w:hint="eastAsia"/>
          <w:lang w:val="en-US"/>
        </w:rPr>
        <w:t>系统下的中转台上电后，将向调度台发起上线登记，登记成功后在调度台客户端高亮显示，调度员可在调度界面上直接观察中转台的在线状态。如果中转台的关机或与调度台的IP联网终端，该中转台的调度界面上的状态即转为下线。</w:t>
      </w:r>
    </w:p>
    <w:p w14:paraId="75B7DE8F">
      <w:pPr>
        <w:ind w:firstLine="480"/>
        <w:rPr>
          <w:rFonts w:hint="eastAsia"/>
          <w:lang w:val="en-US"/>
        </w:rPr>
      </w:pPr>
      <w:r>
        <w:rPr>
          <w:rFonts w:hint="eastAsia"/>
          <w:lang w:val="en-US"/>
        </w:rPr>
        <w:t>三、调度语音呼叫</w:t>
      </w:r>
    </w:p>
    <w:p w14:paraId="75B7DE90">
      <w:pPr>
        <w:ind w:firstLine="480"/>
        <w:rPr>
          <w:rFonts w:hint="eastAsia"/>
          <w:lang w:val="en-US"/>
        </w:rPr>
      </w:pPr>
      <w:r>
        <w:rPr>
          <w:rFonts w:hint="eastAsia"/>
          <w:lang w:val="en-US"/>
        </w:rPr>
        <w:t>调度个呼：调度员可发起个人的语音呼叫，呼叫类型包括有确认单呼和无确认单呼。</w:t>
      </w:r>
    </w:p>
    <w:p w14:paraId="75B7DE91">
      <w:pPr>
        <w:ind w:firstLine="480"/>
        <w:rPr>
          <w:rFonts w:hint="eastAsia"/>
          <w:lang w:val="en-US"/>
        </w:rPr>
      </w:pPr>
      <w:r>
        <w:rPr>
          <w:rFonts w:hint="eastAsia"/>
          <w:lang w:val="en-US"/>
        </w:rPr>
        <w:t>调度组呼：由一个调度员发起对预设群组的语音呼叫。</w:t>
      </w:r>
    </w:p>
    <w:p w14:paraId="75B7DE92">
      <w:pPr>
        <w:ind w:firstLine="480"/>
        <w:rPr>
          <w:rFonts w:hint="eastAsia"/>
          <w:lang w:val="en-US"/>
        </w:rPr>
      </w:pPr>
      <w:r>
        <w:rPr>
          <w:rFonts w:hint="eastAsia"/>
          <w:lang w:val="en-US"/>
        </w:rPr>
        <w:t>调度全呼：调度员选择某信道下发统一的全呼码，该信道下的所有群组的对讲终端均可以接收呼叫信息。</w:t>
      </w:r>
    </w:p>
    <w:p w14:paraId="75B7DE93">
      <w:pPr>
        <w:ind w:firstLine="480"/>
        <w:rPr>
          <w:rFonts w:hint="eastAsia"/>
          <w:lang w:val="en-US"/>
        </w:rPr>
      </w:pPr>
      <w:r>
        <w:rPr>
          <w:rFonts w:hint="eastAsia"/>
          <w:lang w:val="en-US"/>
        </w:rPr>
        <w:t>四、调度短消息</w:t>
      </w:r>
    </w:p>
    <w:p w14:paraId="75B7DE94">
      <w:pPr>
        <w:ind w:firstLine="480"/>
        <w:rPr>
          <w:rFonts w:hint="eastAsia"/>
          <w:lang w:val="en-US"/>
        </w:rPr>
      </w:pPr>
      <w:r>
        <w:rPr>
          <w:rFonts w:hint="eastAsia"/>
          <w:lang w:val="en-US"/>
        </w:rPr>
        <w:t>调度员可以发送组呼或个呼短消息，目标终端、群组或有权限的调度员可接收该短消息，所有与调度平台相关的短消息及相关呼叫信息将被完整记录，作为信息通信可追溯的分析数据。</w:t>
      </w:r>
    </w:p>
    <w:p w14:paraId="75B7DE95">
      <w:pPr>
        <w:ind w:firstLine="480"/>
        <w:rPr>
          <w:rFonts w:hint="eastAsia"/>
          <w:lang w:val="en-US"/>
        </w:rPr>
      </w:pPr>
      <w:r>
        <w:rPr>
          <w:rFonts w:hint="eastAsia"/>
          <w:lang w:val="en-US"/>
        </w:rPr>
        <w:t>五、紧急报警</w:t>
      </w:r>
    </w:p>
    <w:p w14:paraId="75B7DE96">
      <w:pPr>
        <w:ind w:firstLine="480"/>
        <w:rPr>
          <w:rFonts w:hint="eastAsia"/>
          <w:lang w:val="en-US"/>
        </w:rPr>
      </w:pPr>
      <w:r>
        <w:rPr>
          <w:rFonts w:hint="eastAsia"/>
          <w:lang w:val="en-US"/>
        </w:rPr>
        <w:t>调度台接收到报警终端上报的紧急警报，客户端界面采用声音加弹框提示，并在地图上显示报警终端GPS位置信息；接收终端上报的紧急呼叫，调度区面板会显示显著的红色背景框以提示调度员采取相关预案。</w:t>
      </w:r>
    </w:p>
    <w:p w14:paraId="75B7DE97">
      <w:pPr>
        <w:ind w:firstLine="480"/>
        <w:rPr>
          <w:rFonts w:hint="eastAsia"/>
          <w:lang w:val="en-US"/>
        </w:rPr>
      </w:pPr>
      <w:r>
        <w:rPr>
          <w:rFonts w:hint="eastAsia"/>
          <w:lang w:val="en-US"/>
        </w:rPr>
        <w:t>六、补充数据业务</w:t>
      </w:r>
    </w:p>
    <w:p w14:paraId="75B7DE98">
      <w:pPr>
        <w:ind w:firstLine="480"/>
        <w:rPr>
          <w:rFonts w:hint="eastAsia"/>
          <w:lang w:val="en-US"/>
        </w:rPr>
      </w:pPr>
      <w:r>
        <w:rPr>
          <w:rFonts w:hint="eastAsia"/>
          <w:lang w:val="en-US"/>
        </w:rPr>
        <w:t>调度台支持丰富的补充数据业务功能，包括对讲机在线检测，呼叫提示，遥晕/遥醒。用户可以通过配置可编程按键或通过终端菜单发起补充数据业务。</w:t>
      </w:r>
    </w:p>
    <w:p w14:paraId="75B7DE99">
      <w:pPr>
        <w:ind w:firstLine="480"/>
        <w:rPr>
          <w:rFonts w:hint="eastAsia"/>
          <w:lang w:val="en-US"/>
        </w:rPr>
      </w:pPr>
      <w:r>
        <w:rPr>
          <w:rFonts w:hint="eastAsia"/>
          <w:lang w:val="en-US"/>
        </w:rPr>
        <w:t>对讲机在线检测：调度员对目标对讲机发起在线检测，从而确认调度台是否可以与目标对讲机建立有效的语音通信或其他指令性通信。目标对讲在被检测时，除LED指示灯提示接收状态外，不会出现任何其他指示。</w:t>
      </w:r>
    </w:p>
    <w:p w14:paraId="75B7DE9A">
      <w:pPr>
        <w:ind w:firstLine="480"/>
        <w:rPr>
          <w:rFonts w:hint="eastAsia"/>
          <w:lang w:val="en-US"/>
        </w:rPr>
      </w:pPr>
      <w:r>
        <w:rPr>
          <w:rFonts w:hint="eastAsia"/>
          <w:lang w:val="en-US"/>
        </w:rPr>
        <w:t>呼叫提示：如果调度员担心接收方可能处于忙碌状态而忽略对讲通信接收到的信息时，调度员可以通过呼叫提示功能向接收方发出呼叫指令，接收方在收到呼叫提示指令后，接收对讲机将会通过提示音、振动、LED指示或LCD显示等方式提示用户，直到用户清除掉呼叫提示或直接恢复发射方。接收方清除呼叫提示后，调度员也可以收到呼叫提示成功的指示。</w:t>
      </w:r>
    </w:p>
    <w:p w14:paraId="75B7DE9B">
      <w:pPr>
        <w:ind w:firstLine="480"/>
        <w:rPr>
          <w:rFonts w:hint="eastAsia"/>
          <w:lang w:val="en-US"/>
        </w:rPr>
      </w:pPr>
      <w:r>
        <w:rPr>
          <w:rFonts w:hint="eastAsia"/>
          <w:lang w:val="en-US"/>
        </w:rPr>
        <w:t>七、定位调度</w:t>
      </w:r>
    </w:p>
    <w:p w14:paraId="75B7DE9C">
      <w:pPr>
        <w:ind w:firstLine="480"/>
        <w:rPr>
          <w:rFonts w:hint="eastAsia"/>
          <w:lang w:val="en-US"/>
        </w:rPr>
      </w:pPr>
      <w:r>
        <w:rPr>
          <w:rFonts w:hint="eastAsia"/>
          <w:lang w:val="en-US"/>
        </w:rPr>
        <w:t>（一）终端定位上拉</w:t>
      </w:r>
    </w:p>
    <w:p w14:paraId="75B7DE9D">
      <w:pPr>
        <w:ind w:firstLine="480"/>
        <w:rPr>
          <w:rFonts w:hint="eastAsia"/>
          <w:lang w:val="en-US"/>
        </w:rPr>
      </w:pPr>
      <w:r>
        <w:rPr>
          <w:rFonts w:hint="eastAsia"/>
          <w:lang w:val="en-US"/>
        </w:rPr>
        <w:t>调度员直接通过调度界面选择目标终端，发送终端定位上拉指令，终端接收指令后自动向调度台上报自己当前的定位坐标，该终端的位置将在调度地图界面上刷新显示最新位置。</w:t>
      </w:r>
    </w:p>
    <w:p w14:paraId="75B7DE9E">
      <w:pPr>
        <w:ind w:firstLine="480"/>
        <w:rPr>
          <w:rFonts w:hint="eastAsia"/>
          <w:lang w:val="en-US"/>
        </w:rPr>
      </w:pPr>
      <w:r>
        <w:rPr>
          <w:rFonts w:hint="eastAsia"/>
          <w:lang w:val="en-US"/>
        </w:rPr>
        <w:t>（二）轨迹回放</w:t>
      </w:r>
    </w:p>
    <w:p w14:paraId="75B7DE9F">
      <w:pPr>
        <w:ind w:firstLine="480"/>
        <w:rPr>
          <w:rFonts w:hint="eastAsia"/>
          <w:lang w:val="en-US"/>
        </w:rPr>
      </w:pPr>
      <w:r>
        <w:rPr>
          <w:rFonts w:hint="eastAsia"/>
          <w:lang w:val="en-US"/>
        </w:rPr>
        <w:t>调度员可以通过调度客户端查询终端一定时间内的移动轨迹信息，支持对查询轨迹记录进行“全路径显示”，一次性将终端的所有轨迹全部显示在地图上；支持对查询轨迹记录进行“轨迹回放”，将终端轨迹按照原始顺序逐步在地图上播放显示，播放速度可以设置，播放过程中可以暂停和恢复。</w:t>
      </w:r>
    </w:p>
    <w:p w14:paraId="75B7DEA0">
      <w:pPr>
        <w:ind w:firstLine="480"/>
        <w:rPr>
          <w:rFonts w:hint="eastAsia"/>
          <w:lang w:val="en-US"/>
        </w:rPr>
      </w:pPr>
      <w:r>
        <w:rPr>
          <w:rFonts w:hint="eastAsia"/>
          <w:lang w:val="en-US"/>
        </w:rPr>
        <w:t>八、全网录音及回放</w:t>
      </w:r>
    </w:p>
    <w:p w14:paraId="75B7DEA1">
      <w:pPr>
        <w:ind w:firstLine="480"/>
        <w:rPr>
          <w:rFonts w:hint="eastAsia"/>
          <w:lang w:val="en-US"/>
        </w:rPr>
      </w:pPr>
      <w:r>
        <w:rPr>
          <w:rFonts w:hint="eastAsia"/>
          <w:lang w:val="en-US"/>
        </w:rPr>
        <w:t>调度台在配置参与通信的部分或全部群组之后，相关群组的通话信息将被调度台自动录制记录，通话时间与呼叫信息也一同记录为录音索引信息。调度员可随时查看、搜索、回放及拷贝这些录音信息，以供通信管理分析。</w:t>
      </w:r>
    </w:p>
    <w:p w14:paraId="75B7DEA2">
      <w:pPr>
        <w:ind w:firstLine="480"/>
        <w:rPr>
          <w:rFonts w:hint="eastAsia"/>
          <w:lang w:val="en-US"/>
        </w:rPr>
      </w:pPr>
      <w:r>
        <w:rPr>
          <w:rFonts w:hint="eastAsia"/>
          <w:lang w:val="en-US"/>
        </w:rPr>
        <w:t>九、分权调度</w:t>
      </w:r>
    </w:p>
    <w:p w14:paraId="75B7DEA3">
      <w:pPr>
        <w:ind w:firstLine="480"/>
        <w:rPr>
          <w:rFonts w:hint="eastAsia"/>
          <w:lang w:val="en-US"/>
        </w:rPr>
      </w:pPr>
      <w:r>
        <w:rPr>
          <w:rFonts w:hint="eastAsia"/>
          <w:lang w:val="en-US"/>
        </w:rPr>
        <w:t>支持管理员在客户端为不同调度员设置不同范围的系统权限，管理员可以指定调度员调度权限内的中转台，未指定的中转台不在该调度员的界面上显示，只有系统ADMIN管理员可以进行权限设置。</w:t>
      </w:r>
    </w:p>
    <w:p w14:paraId="75B7DEA4">
      <w:pPr>
        <w:ind w:firstLine="480"/>
        <w:rPr>
          <w:rFonts w:hint="eastAsia"/>
          <w:lang w:val="en-US"/>
        </w:rPr>
      </w:pPr>
      <w:r>
        <w:rPr>
          <w:rFonts w:hint="eastAsia"/>
          <w:lang w:val="en-US"/>
        </w:rPr>
        <w:t>十、系统日志</w:t>
      </w:r>
    </w:p>
    <w:p w14:paraId="75B7DEA5">
      <w:pPr>
        <w:ind w:firstLine="480"/>
        <w:rPr>
          <w:rFonts w:hint="eastAsia"/>
          <w:lang w:val="en-US"/>
        </w:rPr>
      </w:pPr>
      <w:r>
        <w:rPr>
          <w:rFonts w:hint="eastAsia"/>
          <w:lang w:val="en-US"/>
        </w:rPr>
        <w:t>系统下的所有相关通信活动将被系统自动记录为日志，并支持通话记录、上下线、短消息、电子围栏等查询，支持将查询结果以Excel文件形式导出到本地。历史记录保存时间默认3个月，可通过配置修改。</w:t>
      </w:r>
    </w:p>
    <w:p w14:paraId="75B7DEA6">
      <w:pPr>
        <w:pStyle w:val="6"/>
        <w:ind w:firstLine="480"/>
        <w:rPr>
          <w:rFonts w:hint="eastAsia"/>
        </w:rPr>
      </w:pPr>
      <w:r>
        <w:rPr>
          <w:rFonts w:hint="eastAsia"/>
        </w:rPr>
        <w:t>网络管理平台功能</w:t>
      </w:r>
    </w:p>
    <w:p w14:paraId="75B7DEA7">
      <w:pPr>
        <w:ind w:firstLine="480"/>
        <w:rPr>
          <w:rFonts w:hint="eastAsia"/>
          <w:lang w:val="en-US"/>
        </w:rPr>
      </w:pPr>
      <w:r>
        <w:rPr>
          <w:rFonts w:hint="eastAsia"/>
          <w:lang w:val="en-US"/>
        </w:rPr>
        <w:t>实时查看：即可在网管客户端查看所有站点的实时信息，包括基本信息、配置信息、状态信息和告警信息等。相关重要的运行参数将被实时监测，监测数据包含设备的电压、电流、功率、驻波比等关键指标，异常时上报告警信息，并采取相应的降功率、停止发射等保护措施。</w:t>
      </w:r>
    </w:p>
    <w:p w14:paraId="75B7DEA8">
      <w:pPr>
        <w:ind w:firstLine="480"/>
        <w:rPr>
          <w:rFonts w:hint="eastAsia"/>
          <w:lang w:val="en-US"/>
        </w:rPr>
      </w:pPr>
      <w:r>
        <w:rPr>
          <w:rFonts w:hint="eastAsia"/>
          <w:lang w:val="en-US"/>
        </w:rPr>
        <w:t>告警管理：即可在网管客户端查看各中转台的告警信息，包括告警的发生、恢复、告警码、告警级别、上报位置、上报时间等，并支持对当前告警和历史告警的查询和导出。当中转台出现告警时系统自动发送邮件给维护人员，以便及时了解系统运行状态，更好地维护系统运行。</w:t>
      </w:r>
    </w:p>
    <w:p w14:paraId="75B7DEA9">
      <w:pPr>
        <w:ind w:firstLine="480"/>
        <w:rPr>
          <w:rFonts w:hint="eastAsia"/>
          <w:lang w:val="en-US"/>
        </w:rPr>
      </w:pPr>
      <w:r>
        <w:rPr>
          <w:rFonts w:hint="eastAsia"/>
          <w:lang w:val="en-US"/>
        </w:rPr>
        <w:t>远程写频及控制：通过网管客户端可以快速远程读取和修改中转台的相关参数，包括：当前信道、发射功率、版本信息等，并支持远程复位和禁用中转台。</w:t>
      </w:r>
    </w:p>
    <w:p w14:paraId="75B7DEAA">
      <w:pPr>
        <w:ind w:firstLine="480"/>
        <w:rPr>
          <w:rFonts w:hint="eastAsia"/>
          <w:lang w:val="en-US"/>
        </w:rPr>
      </w:pPr>
      <w:r>
        <w:rPr>
          <w:rFonts w:hint="eastAsia"/>
          <w:lang w:val="en-US"/>
        </w:rPr>
        <w:t>操作日志：系统运作设置中的所有系统操作和安全记录将被记录为日志，网络管理人员可在网管客户端查询操作日志、安全日志、系统日志，并支持把操作日志导出到文件。</w:t>
      </w:r>
    </w:p>
    <w:p w14:paraId="75B7DEAB">
      <w:pPr>
        <w:pStyle w:val="4"/>
        <w:rPr>
          <w:rFonts w:hint="eastAsia"/>
        </w:rPr>
      </w:pPr>
      <w:bookmarkStart w:id="146" w:name="_Toc10592"/>
      <w:r>
        <w:rPr>
          <w:rFonts w:hint="eastAsia"/>
        </w:rPr>
        <w:t>森林消防队伍能力建设</w:t>
      </w:r>
      <w:bookmarkEnd w:id="146"/>
    </w:p>
    <w:p w14:paraId="75B7DEAC">
      <w:pPr>
        <w:pStyle w:val="5"/>
      </w:pPr>
      <w:r>
        <w:rPr>
          <w:rFonts w:hint="eastAsia"/>
          <w:lang w:val="en-US"/>
        </w:rPr>
        <w:t>概述</w:t>
      </w:r>
    </w:p>
    <w:p w14:paraId="75B7DEAD">
      <w:pPr>
        <w:ind w:firstLine="480"/>
        <w:rPr>
          <w:rFonts w:hint="eastAsia"/>
          <w:lang w:val="en-US"/>
        </w:rPr>
      </w:pPr>
      <w:r>
        <w:rPr>
          <w:rFonts w:hint="eastAsia"/>
          <w:lang w:val="en-US"/>
        </w:rPr>
        <w:t>项目配森林防火视频监控语音宣传杆529套。</w:t>
      </w:r>
    </w:p>
    <w:p w14:paraId="75B7DEAE">
      <w:pPr>
        <w:pStyle w:val="5"/>
      </w:pPr>
      <w:r>
        <w:rPr>
          <w:rFonts w:hint="eastAsia"/>
          <w:lang w:val="en-US"/>
        </w:rPr>
        <w:t>设备功能与技术特性</w:t>
      </w:r>
    </w:p>
    <w:p w14:paraId="75B7DEAF">
      <w:pPr>
        <w:spacing w:line="240" w:lineRule="auto"/>
        <w:ind w:firstLine="0" w:firstLineChars="0"/>
        <w:jc w:val="center"/>
        <w:rPr>
          <w:rFonts w:hint="eastAsia"/>
        </w:rPr>
      </w:pPr>
      <w:r>
        <w:drawing>
          <wp:inline distT="0" distB="0" distL="0" distR="0">
            <wp:extent cx="1587500" cy="3429000"/>
            <wp:effectExtent l="0" t="0" r="0" b="0"/>
            <wp:docPr id="7223" name="图片 7223" descr="https://obs-prmfile.dahuatech.com/cloud/prod/2024/3/4/909/e286aab429c94ce49630eb211293b9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3" name="图片 7223" descr="https://obs-prmfile.dahuatech.com/cloud/prod/2024/3/4/909/e286aab429c94ce49630eb211293b947.png"/>
                    <pic:cNvPicPr>
                      <a:picLocks noChangeAspect="1" noChangeArrowheads="1"/>
                    </pic:cNvPicPr>
                  </pic:nvPicPr>
                  <pic:blipFill>
                    <a:blip r:embed="rId45" cstate="print">
                      <a:extLst>
                        <a:ext uri="{28A0092B-C50C-407E-A947-70E740481C1C}">
                          <a14:useLocalDpi xmlns:a14="http://schemas.microsoft.com/office/drawing/2010/main" val="0"/>
                        </a:ext>
                      </a:extLst>
                    </a:blip>
                    <a:srcRect l="40059" r="32321" b="7787"/>
                    <a:stretch>
                      <a:fillRect/>
                    </a:stretch>
                  </pic:blipFill>
                  <pic:spPr>
                    <a:xfrm>
                      <a:off x="0" y="0"/>
                      <a:ext cx="1594672" cy="3444293"/>
                    </a:xfrm>
                    <a:prstGeom prst="rect">
                      <a:avLst/>
                    </a:prstGeom>
                    <a:noFill/>
                    <a:ln>
                      <a:noFill/>
                    </a:ln>
                  </pic:spPr>
                </pic:pic>
              </a:graphicData>
            </a:graphic>
          </wp:inline>
        </w:drawing>
      </w:r>
      <w:r>
        <w:drawing>
          <wp:inline distT="0" distB="0" distL="0" distR="0">
            <wp:extent cx="1478280" cy="3463290"/>
            <wp:effectExtent l="0" t="0" r="0" b="0"/>
            <wp:docPr id="7224" name="图片 7224" descr="https://obs-prmfile.dahuatech.com/cloud/prod/2024/3/4/116/a661826f8b40459e9894f16606cc203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4" name="图片 7224" descr="https://obs-prmfile.dahuatech.com/cloud/prod/2024/3/4/116/a661826f8b40459e9894f16606cc203c.png"/>
                    <pic:cNvPicPr>
                      <a:picLocks noChangeAspect="1" noChangeArrowheads="1"/>
                    </pic:cNvPicPr>
                  </pic:nvPicPr>
                  <pic:blipFill>
                    <a:blip r:embed="rId46" cstate="print">
                      <a:extLst>
                        <a:ext uri="{28A0092B-C50C-407E-A947-70E740481C1C}">
                          <a14:useLocalDpi xmlns:a14="http://schemas.microsoft.com/office/drawing/2010/main" val="0"/>
                        </a:ext>
                      </a:extLst>
                    </a:blip>
                    <a:srcRect l="39077" r="34865" b="5627"/>
                    <a:stretch>
                      <a:fillRect/>
                    </a:stretch>
                  </pic:blipFill>
                  <pic:spPr>
                    <a:xfrm>
                      <a:off x="0" y="0"/>
                      <a:ext cx="1508643" cy="3534677"/>
                    </a:xfrm>
                    <a:prstGeom prst="rect">
                      <a:avLst/>
                    </a:prstGeom>
                    <a:noFill/>
                    <a:ln>
                      <a:noFill/>
                    </a:ln>
                  </pic:spPr>
                </pic:pic>
              </a:graphicData>
            </a:graphic>
          </wp:inline>
        </w:drawing>
      </w:r>
    </w:p>
    <w:p w14:paraId="75B7DEB0">
      <w:pPr>
        <w:ind w:firstLine="480"/>
        <w:jc w:val="center"/>
        <w:rPr>
          <w:rFonts w:hint="eastAsia"/>
        </w:rPr>
      </w:pPr>
      <w:r>
        <w:rPr>
          <w:rFonts w:hint="eastAsia"/>
        </w:rPr>
        <w:t>森林防火视频监控语音宣传杆图</w:t>
      </w:r>
    </w:p>
    <w:p w14:paraId="75B7DEB1">
      <w:pPr>
        <w:ind w:firstLine="480"/>
        <w:rPr>
          <w:rFonts w:hint="eastAsia"/>
        </w:rPr>
      </w:pPr>
      <w:r>
        <w:rPr>
          <w:rFonts w:hint="eastAsia"/>
        </w:rPr>
        <w:t>森林防火视频监控语音宣传杆是融合物联网、声学技术与森林防火管理的智能化预警设备，核心作用在于构建“主动预警+精准宣教”的立体化防控屏障。其通过红外感应、人体雷达等技术，可精准识别进入林区的人员或车辆，自动触发定制化语音播报，内容涵盖森林防火法规、火源管控要求、应急避险知识等，实现“人到声起”的实时宣教，强化公众防火意识。此外，其安装灵活，可覆盖林区入口、步道沿线、重点防火区等关键节点，弥补传统人工巡查的盲区，成为提升森林防火精细化、智能化管理水平的重要基础设施。</w:t>
      </w:r>
    </w:p>
    <w:p w14:paraId="75B7DEB2">
      <w:pPr>
        <w:ind w:firstLine="480"/>
        <w:rPr>
          <w:rFonts w:hint="eastAsia"/>
        </w:rPr>
      </w:pPr>
      <w:r>
        <w:rPr>
          <w:rFonts w:hint="eastAsia"/>
        </w:rPr>
        <w:t>森林防火视频监控语音宣传杆以运营商4G/5G无线网络传输为基础，通过VPN及下一代防火墙与平台进行对接，并在前端配置白名单等安全策略，防止非法入侵篡改等安全风险。前端视频信号通过运营商专线回传至云服务商机房进行统一智能化分析应用；森林防火视频监控语音宣传杆的部署以按需设防，科学布局，突出重点，讲求实效为基本原则，根据本期项目实际需要合理部署。森林防火视频监控语音宣传杆的前端回传网络安全保障能力由运营商基于核心网和物联网平台提供强大的集中管控和策略安全能力。</w:t>
      </w:r>
    </w:p>
    <w:p w14:paraId="75B7DEB3">
      <w:pPr>
        <w:ind w:firstLine="480"/>
        <w:rPr>
          <w:rFonts w:hint="eastAsia"/>
        </w:rPr>
      </w:pPr>
      <w:r>
        <w:rPr>
          <w:rFonts w:hint="eastAsia"/>
        </w:rPr>
        <w:t>摄像机本地录像，内存128G（最大支持512GB），告警图片上报、支持语音对讲功能，自带麦克风和喇叭多功能，系统集视频、语音、太阳能供电、4G网络传输等实用功能于一体，创新法治宣传和森林防火预警发布服务工作体系，构建寓教于乐的“一体化路口宣教”信息平台。预警系统平台软件功能如下：</w:t>
      </w:r>
    </w:p>
    <w:p w14:paraId="75B7DEB4">
      <w:pPr>
        <w:ind w:firstLine="480"/>
        <w:rPr>
          <w:rFonts w:hint="eastAsia"/>
        </w:rPr>
      </w:pPr>
      <w:r>
        <w:rPr>
          <w:rFonts w:hint="eastAsia"/>
        </w:rPr>
        <w:t>1.智慧预警系统平台具有领导驾驶舱功能，用户可通过电脑网页端和手机小程序端，实时远程在线监测预警;</w:t>
      </w:r>
    </w:p>
    <w:p w14:paraId="75B7DEB5">
      <w:pPr>
        <w:ind w:firstLine="480"/>
        <w:rPr>
          <w:rFonts w:hint="eastAsia"/>
          <w:lang w:val="en-US"/>
        </w:rPr>
      </w:pPr>
      <w:r>
        <w:rPr>
          <w:rFonts w:hint="eastAsia"/>
        </w:rPr>
        <w:t>2. 平台具备在地图上显示设备地理信息位置，实时展示设备的工作状态，同时具备导航功能，可一键导航至设备点位，方便监管人员对位置的准确定位及运维人员设备</w:t>
      </w:r>
    </w:p>
    <w:p w14:paraId="75B7DEB6">
      <w:pPr>
        <w:ind w:firstLine="480"/>
        <w:rPr>
          <w:rFonts w:hint="eastAsia"/>
        </w:rPr>
      </w:pPr>
      <w:r>
        <w:rPr>
          <w:rFonts w:hint="eastAsia"/>
        </w:rPr>
        <w:t>系统前端内置有太阳能供电系统，提供稳定的提供清洁能源，节能环保；蓄电池满足电量的储存与供电；内置高容量存储器及4G无线网络模块；微波智能感应移动物体，从而触发语音、警灯、视频监控工作，让监控、宣传、警示智能一体化。</w:t>
      </w:r>
    </w:p>
    <w:p w14:paraId="75B7DEB7">
      <w:pPr>
        <w:ind w:firstLine="480"/>
        <w:rPr>
          <w:rFonts w:hint="eastAsia"/>
        </w:rPr>
      </w:pPr>
      <w:r>
        <w:rPr>
          <w:rFonts w:hint="eastAsia"/>
        </w:rPr>
        <w:t>森林防火视频监控语音宣传杆存储卡出厂安全固化方案如下：</w:t>
      </w:r>
    </w:p>
    <w:p w14:paraId="75B7DEB8">
      <w:pPr>
        <w:ind w:firstLine="480"/>
        <w:rPr>
          <w:rFonts w:hint="eastAsia"/>
        </w:rPr>
      </w:pPr>
      <w:r>
        <w:rPr>
          <w:rFonts w:hint="eastAsia"/>
        </w:rPr>
        <w:t>作为森林防火前端感知体系的关键终端，视频监控语音宣传杆需通过集成式存储卡实现本地数据缓存（含监控视频片段、语音宣传文件、设备运行日志等核心数据）与固件配置存储。为抵御野外复杂环境下的非授权物理接触（如恶意拆卸、非法拔出）及数据篡改风险，需在出厂环节对存储卡实施“物理+逻辑”双重安全固化设置：</w:t>
      </w:r>
    </w:p>
    <w:p w14:paraId="75B7DEB9">
      <w:pPr>
        <w:ind w:firstLine="480"/>
        <w:rPr>
          <w:rFonts w:hint="eastAsia"/>
        </w:rPr>
      </w:pPr>
      <w:r>
        <w:rPr>
          <w:rFonts w:hint="eastAsia"/>
        </w:rPr>
        <w:t>1、物理防护层面，采用防拆卡扣与高强度封装胶将存储卡与设备主板进行一体化刚性固定，卡体接口处加装金属防撬外壳，通过结构设计使存储卡拆卸需破坏设备本体，从物理层面阻断非授权取出通道；</w:t>
      </w:r>
    </w:p>
    <w:p w14:paraId="75B7DEBA">
      <w:pPr>
        <w:ind w:firstLine="480"/>
        <w:rPr>
          <w:rFonts w:hint="eastAsia"/>
        </w:rPr>
      </w:pPr>
      <w:r>
        <w:rPr>
          <w:rFonts w:hint="eastAsia"/>
        </w:rPr>
        <w:t>2、逻辑安全层面，在出厂预配置阶段通过专用工具对存储卡进行固件级写保护设置：① 划分独立只读分区，固化设备基础配置参数（如通信协议、加密密钥、宣传语音基线版本），禁止后期非授权修改；② 启用存储芯片唯一硬件标识（UUID）与设备主板绑定机制，仅匹配绑定标识的存储卡可被设备识别，杜绝非法替换卡接入；③ 配置数据循环覆盖策略（按预设容量阈值自动覆盖 oldest 数据），并对敏感日志（如异常拆卸记录、非法访问尝试）强制写入不可擦除区域，确保溯源数据完整性。</w:t>
      </w:r>
    </w:p>
    <w:p w14:paraId="75B7DEBB">
      <w:pPr>
        <w:ind w:firstLine="480"/>
        <w:rPr>
          <w:rFonts w:hint="eastAsia"/>
        </w:rPr>
      </w:pPr>
      <w:r>
        <w:rPr>
          <w:rFonts w:hint="eastAsia"/>
        </w:rPr>
        <w:t>安全固化需符合《森林防火视频监控系统技术规范》（LY/T 3293-2021）中“前端设备存储介质安全防护”要求，确保设备部署后存储卡处于“物理不可拆卸、逻辑不可篡改”的安全状态，为后端指挥调度系统提供真实、完整的前端数据支撑。</w:t>
      </w:r>
    </w:p>
    <w:p w14:paraId="75B7DEBC">
      <w:pPr>
        <w:pStyle w:val="5"/>
        <w:rPr>
          <w:lang w:val="en-US"/>
        </w:rPr>
      </w:pPr>
      <w:r>
        <w:rPr>
          <w:rFonts w:hint="eastAsia"/>
          <w:lang w:val="en-US"/>
        </w:rPr>
        <w:t>布局及使用管理规划</w:t>
      </w:r>
    </w:p>
    <w:p w14:paraId="75B7DEBD">
      <w:pPr>
        <w:ind w:firstLine="480"/>
        <w:rPr>
          <w:rFonts w:hint="eastAsia"/>
          <w:lang w:val="en-US"/>
        </w:rPr>
      </w:pPr>
      <w:r>
        <w:rPr>
          <w:rFonts w:hint="eastAsia"/>
          <w:lang w:val="en-US"/>
        </w:rPr>
        <w:t>一、建设布局：精准覆盖高风险区域</w:t>
      </w:r>
    </w:p>
    <w:p w14:paraId="75B7DEBE">
      <w:pPr>
        <w:ind w:firstLine="480"/>
        <w:rPr>
          <w:rFonts w:hint="eastAsia"/>
          <w:lang w:val="en-US"/>
        </w:rPr>
      </w:pPr>
      <w:r>
        <w:rPr>
          <w:rFonts w:hint="eastAsia"/>
          <w:lang w:val="en-US"/>
        </w:rPr>
        <w:t>核心原则：按“重点林区入口+防火通道沿线+村庄周边”三圈层布局，确保宣传无死角。</w:t>
      </w:r>
    </w:p>
    <w:p w14:paraId="75B7DEBF">
      <w:pPr>
        <w:ind w:firstLine="480"/>
        <w:rPr>
          <w:rFonts w:hint="eastAsia"/>
          <w:lang w:val="en-US"/>
        </w:rPr>
      </w:pPr>
      <w:r>
        <w:rPr>
          <w:rFonts w:hint="eastAsia"/>
          <w:lang w:val="en-US"/>
        </w:rPr>
        <w:t>重点林区入口：如幕阜山、福寿山等景区入口，搭载高音喇叭，循环播放防火法规（每日7:00-9:00、15:00-17:00高频时段）。</w:t>
      </w:r>
    </w:p>
    <w:p w14:paraId="75B7DEC0">
      <w:pPr>
        <w:ind w:firstLine="480"/>
        <w:rPr>
          <w:rFonts w:hint="eastAsia"/>
          <w:lang w:val="en-US"/>
        </w:rPr>
      </w:pPr>
      <w:r>
        <w:rPr>
          <w:rFonts w:hint="eastAsia"/>
          <w:lang w:val="en-US"/>
        </w:rPr>
        <w:t>防火通道沿线：在林区主干道每500米设置1套，集成红外人体感应模块，当检测到人员活动时自动触发语音警示（如“您已进入林区，禁止吸烟”）。</w:t>
      </w:r>
    </w:p>
    <w:p w14:paraId="75B7DEC1">
      <w:pPr>
        <w:ind w:firstLine="480"/>
        <w:rPr>
          <w:rFonts w:hint="eastAsia"/>
          <w:lang w:val="en-US"/>
        </w:rPr>
      </w:pPr>
      <w:r>
        <w:rPr>
          <w:rFonts w:hint="eastAsia"/>
          <w:lang w:val="en-US"/>
        </w:rPr>
        <w:t>村庄周边：结合203台北斗巡护终端的巡护路线，在村级管护站附近部署，支持护林员通过手持终端远程更新宣传内容（如临时禁火通知）。</w:t>
      </w:r>
    </w:p>
    <w:p w14:paraId="75B7DEC2">
      <w:pPr>
        <w:ind w:firstLine="480"/>
        <w:rPr>
          <w:rFonts w:hint="eastAsia"/>
          <w:lang w:val="en-US"/>
        </w:rPr>
      </w:pPr>
      <w:r>
        <w:rPr>
          <w:rFonts w:hint="eastAsia"/>
          <w:lang w:val="en-US"/>
        </w:rPr>
        <w:t>二、使用规范：分级管理+动态响应</w:t>
      </w:r>
    </w:p>
    <w:p w14:paraId="75B7DEC3">
      <w:pPr>
        <w:ind w:firstLine="480"/>
        <w:rPr>
          <w:rFonts w:hint="eastAsia"/>
          <w:lang w:val="en-US"/>
        </w:rPr>
      </w:pPr>
      <w:r>
        <w:rPr>
          <w:rFonts w:hint="eastAsia"/>
          <w:lang w:val="en-US"/>
        </w:rPr>
        <w:t>日常模式：每日固定时段播放防火宣传（早7点、午12点、晚6点各1次，每次15分钟）。</w:t>
      </w:r>
    </w:p>
    <w:p w14:paraId="75B7DEC4">
      <w:pPr>
        <w:ind w:firstLine="480"/>
        <w:rPr>
          <w:rFonts w:hint="eastAsia"/>
          <w:lang w:val="en-US"/>
        </w:rPr>
      </w:pPr>
      <w:r>
        <w:rPr>
          <w:rFonts w:hint="eastAsia"/>
          <w:lang w:val="en-US"/>
        </w:rPr>
        <w:t>应急模式：火情发生时，市级调度中心通过平台远程切换至“应急广播”，定向播放疏散指令（如“XX区域居民立即撤离至安全地带”）。</w:t>
      </w:r>
    </w:p>
    <w:p w14:paraId="75B7DEC5">
      <w:pPr>
        <w:ind w:firstLine="480"/>
        <w:rPr>
          <w:rFonts w:hint="eastAsia"/>
          <w:lang w:val="en-US"/>
        </w:rPr>
      </w:pPr>
      <w:r>
        <w:rPr>
          <w:rFonts w:hint="eastAsia"/>
          <w:lang w:val="en-US"/>
        </w:rPr>
        <w:t>维护机制：每季度巡检杆体倾斜度（≤3°）、电池续航（太阳能板+锂电池组合，阴雨天续航≥72小时），故障2小时内响应修复。</w:t>
      </w:r>
    </w:p>
    <w:p w14:paraId="75B7DEC6">
      <w:pPr>
        <w:pStyle w:val="5"/>
        <w:rPr>
          <w:lang w:val="en-US"/>
        </w:rPr>
      </w:pPr>
      <w:r>
        <w:rPr>
          <w:rFonts w:hint="eastAsia"/>
          <w:lang w:val="en-US"/>
        </w:rPr>
        <w:t>智慧化融合升级规划</w:t>
      </w:r>
    </w:p>
    <w:p w14:paraId="75B7DEC7">
      <w:pPr>
        <w:ind w:firstLine="480"/>
        <w:rPr>
          <w:rFonts w:hint="eastAsia"/>
          <w:lang w:val="en-US"/>
        </w:rPr>
      </w:pPr>
      <w:r>
        <w:rPr>
          <w:rFonts w:hint="eastAsia"/>
          <w:lang w:val="en-US"/>
        </w:rPr>
        <w:t>基于森林防火语音宣传杆的现状与智慧化平台发展趋势，制定系统性融合规划方案，聚焦 “感知-决策-响应”闭环升级。</w:t>
      </w:r>
    </w:p>
    <w:p w14:paraId="75B7DED1">
      <w:pPr>
        <w:ind w:firstLine="480"/>
        <w:rPr>
          <w:rFonts w:hint="eastAsia"/>
          <w:lang w:val="en-US"/>
        </w:rPr>
      </w:pPr>
      <w:r>
        <w:rPr>
          <w:rFonts w:hint="eastAsia"/>
          <w:lang w:val="en-US" w:eastAsia="zh-CN"/>
        </w:rPr>
        <w:t>一</w:t>
      </w:r>
      <w:r>
        <w:rPr>
          <w:rFonts w:hint="eastAsia"/>
          <w:lang w:val="en-US"/>
        </w:rPr>
        <w:t>、数据融合与应用场景深化</w:t>
      </w:r>
    </w:p>
    <w:p w14:paraId="75B7DED2">
      <w:pPr>
        <w:ind w:firstLine="480"/>
        <w:rPr>
          <w:rFonts w:hint="eastAsia"/>
          <w:lang w:val="en-US"/>
        </w:rPr>
      </w:pPr>
      <w:r>
        <w:rPr>
          <w:rFonts w:hint="eastAsia"/>
          <w:lang w:val="en-US"/>
        </w:rPr>
        <w:t xml:space="preserve">1.动态火险预警闭环 </w:t>
      </w:r>
    </w:p>
    <w:p w14:paraId="75B7DED3">
      <w:pPr>
        <w:ind w:firstLine="480"/>
        <w:rPr>
          <w:rFonts w:hint="eastAsia"/>
          <w:lang w:val="en-US"/>
        </w:rPr>
      </w:pPr>
    </w:p>
    <w:p w14:paraId="75B7DED4">
      <w:pPr>
        <w:ind w:firstLine="480"/>
        <w:rPr>
          <w:rFonts w:hint="eastAsia"/>
          <w:lang w:val="en-US"/>
        </w:rPr>
      </w:pPr>
      <w:r>
        <w:rPr>
          <w:rFonts w:hint="eastAsia"/>
          <w:lang w:val="en-US"/>
        </w:rPr>
        <w:drawing>
          <wp:anchor distT="0" distB="0" distL="0" distR="0" simplePos="0" relativeHeight="251664384" behindDoc="0" locked="0" layoutInCell="1" allowOverlap="1">
            <wp:simplePos x="0" y="0"/>
            <wp:positionH relativeFrom="column">
              <wp:posOffset>-22860</wp:posOffset>
            </wp:positionH>
            <wp:positionV relativeFrom="paragraph">
              <wp:posOffset>90805</wp:posOffset>
            </wp:positionV>
            <wp:extent cx="5267325" cy="1318895"/>
            <wp:effectExtent l="0" t="0" r="5715" b="6985"/>
            <wp:wrapNone/>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47"/>
                    <a:stretch>
                      <a:fillRect/>
                    </a:stretch>
                  </pic:blipFill>
                  <pic:spPr>
                    <a:xfrm>
                      <a:off x="0" y="0"/>
                      <a:ext cx="5732145" cy="1435379"/>
                    </a:xfrm>
                    <a:prstGeom prst="rect">
                      <a:avLst/>
                    </a:prstGeom>
                  </pic:spPr>
                </pic:pic>
              </a:graphicData>
            </a:graphic>
          </wp:anchor>
        </w:drawing>
      </w:r>
    </w:p>
    <w:p w14:paraId="75B7DED5">
      <w:pPr>
        <w:ind w:firstLine="480"/>
        <w:rPr>
          <w:rFonts w:hint="eastAsia"/>
          <w:lang w:val="en-US"/>
        </w:rPr>
      </w:pPr>
    </w:p>
    <w:p w14:paraId="75B7DED6">
      <w:pPr>
        <w:ind w:firstLine="480"/>
        <w:rPr>
          <w:rFonts w:hint="eastAsia"/>
          <w:lang w:val="en-US"/>
        </w:rPr>
      </w:pPr>
    </w:p>
    <w:p w14:paraId="75B7DED7">
      <w:pPr>
        <w:ind w:firstLine="480"/>
        <w:rPr>
          <w:rFonts w:hint="eastAsia"/>
          <w:lang w:val="en-US"/>
        </w:rPr>
      </w:pPr>
    </w:p>
    <w:p w14:paraId="75B7DED8">
      <w:pPr>
        <w:ind w:firstLine="480"/>
        <w:rPr>
          <w:rFonts w:hint="eastAsia"/>
          <w:lang w:val="en-US"/>
        </w:rPr>
      </w:pPr>
    </w:p>
    <w:p w14:paraId="75B7DED9">
      <w:pPr>
        <w:ind w:firstLine="480"/>
        <w:rPr>
          <w:rFonts w:hint="eastAsia"/>
          <w:lang w:val="en-US"/>
        </w:rPr>
      </w:pPr>
    </w:p>
    <w:p w14:paraId="75B7DEDA">
      <w:pPr>
        <w:ind w:firstLine="480"/>
        <w:rPr>
          <w:rFonts w:hint="eastAsia"/>
          <w:lang w:val="en-US"/>
        </w:rPr>
      </w:pPr>
      <w:r>
        <w:rPr>
          <w:rFonts w:hint="eastAsia"/>
          <w:lang w:val="en-US"/>
        </w:rPr>
        <w:t xml:space="preserve">2.精准宣教与行为干预 </w:t>
      </w:r>
    </w:p>
    <w:p w14:paraId="75B7DEDB">
      <w:pPr>
        <w:ind w:firstLine="480"/>
        <w:rPr>
          <w:rFonts w:hint="eastAsia"/>
          <w:lang w:val="en-US"/>
        </w:rPr>
      </w:pPr>
      <w:r>
        <w:rPr>
          <w:rFonts w:hint="eastAsia"/>
          <w:lang w:val="en-US"/>
        </w:rPr>
        <w:t xml:space="preserve">场景化播控：景区入口播“禁烟”、农林区播“禁烧荒”、祭祀点播“文明祭扫”； </w:t>
      </w:r>
    </w:p>
    <w:p w14:paraId="75B7DF00">
      <w:pPr>
        <w:pStyle w:val="3"/>
      </w:pPr>
      <w:bookmarkStart w:id="147" w:name="_Toc6420"/>
      <w:r>
        <w:rPr>
          <w:rFonts w:hint="eastAsia"/>
        </w:rPr>
        <w:t>信息资源规划和数据库建设方案</w:t>
      </w:r>
      <w:bookmarkEnd w:id="147"/>
    </w:p>
    <w:p w14:paraId="75B7DF01">
      <w:pPr>
        <w:pStyle w:val="4"/>
        <w:rPr>
          <w:rFonts w:hint="eastAsia"/>
        </w:rPr>
      </w:pPr>
      <w:bookmarkStart w:id="148" w:name="_Toc128"/>
      <w:r>
        <w:rPr>
          <w:rFonts w:hint="eastAsia"/>
        </w:rPr>
        <w:t>数据标准</w:t>
      </w:r>
      <w:bookmarkEnd w:id="148"/>
    </w:p>
    <w:p w14:paraId="75B7DF02">
      <w:pPr>
        <w:pStyle w:val="5"/>
        <w:rPr>
          <w:lang w:val="en-US"/>
        </w:rPr>
      </w:pPr>
      <w:r>
        <w:rPr>
          <w:rFonts w:hint="eastAsia"/>
          <w:lang w:val="en-US"/>
        </w:rPr>
        <w:t>标准依据</w:t>
      </w:r>
    </w:p>
    <w:p w14:paraId="75B7DF03">
      <w:pPr>
        <w:ind w:firstLine="480"/>
        <w:rPr>
          <w:rFonts w:hint="eastAsia"/>
          <w:lang w:val="en-US"/>
        </w:rPr>
      </w:pPr>
      <w:r>
        <w:rPr>
          <w:rFonts w:hint="eastAsia"/>
          <w:lang w:val="en-US"/>
        </w:rPr>
        <w:t>1.《公共安全视频监控联网系统信息传输、交换、控制技术要求》（GB/T 28181-2022）；</w:t>
      </w:r>
    </w:p>
    <w:p w14:paraId="75B7DF04">
      <w:pPr>
        <w:ind w:firstLine="480"/>
        <w:rPr>
          <w:rFonts w:hint="eastAsia"/>
          <w:lang w:val="en-US"/>
        </w:rPr>
      </w:pPr>
      <w:r>
        <w:rPr>
          <w:rFonts w:hint="eastAsia"/>
          <w:lang w:val="en-US"/>
        </w:rPr>
        <w:t>2.《公共安全视频监控数字视音频编解码技术要求》（GB/T 25724-2017）；</w:t>
      </w:r>
    </w:p>
    <w:p w14:paraId="75B7DF05">
      <w:pPr>
        <w:ind w:firstLine="480"/>
        <w:rPr>
          <w:rFonts w:hint="eastAsia"/>
          <w:lang w:val="en-US"/>
        </w:rPr>
      </w:pPr>
      <w:r>
        <w:rPr>
          <w:rFonts w:hint="eastAsia"/>
          <w:lang w:val="en-US"/>
        </w:rPr>
        <w:t>3.《公共安全视频监控联网信息安全技术要求》（GB 35114-2017）；</w:t>
      </w:r>
    </w:p>
    <w:p w14:paraId="75B7DF06">
      <w:pPr>
        <w:ind w:firstLine="480"/>
        <w:rPr>
          <w:rFonts w:hint="eastAsia"/>
          <w:lang w:val="en-US"/>
        </w:rPr>
      </w:pPr>
      <w:r>
        <w:rPr>
          <w:rFonts w:hint="eastAsia"/>
          <w:lang w:val="en-US"/>
        </w:rPr>
        <w:t>4.《信息安全技术 网络安全等级保护基本要求》（GB/T 22239-2019）；</w:t>
      </w:r>
    </w:p>
    <w:p w14:paraId="75B7DF07">
      <w:pPr>
        <w:ind w:firstLine="480"/>
        <w:rPr>
          <w:rFonts w:hint="eastAsia"/>
          <w:lang w:val="en-US"/>
        </w:rPr>
      </w:pPr>
      <w:r>
        <w:rPr>
          <w:rFonts w:hint="eastAsia"/>
          <w:lang w:val="en-US"/>
        </w:rPr>
        <w:t>5.《LY/T 2581-2016 森林防火视频监控系统技术规范》；</w:t>
      </w:r>
    </w:p>
    <w:p w14:paraId="75B7DF08">
      <w:pPr>
        <w:ind w:firstLine="480"/>
        <w:rPr>
          <w:rFonts w:hint="eastAsia"/>
          <w:lang w:val="en-US"/>
        </w:rPr>
      </w:pPr>
      <w:r>
        <w:rPr>
          <w:rFonts w:hint="eastAsia"/>
          <w:lang w:val="en-US"/>
        </w:rPr>
        <w:t>6.《LY/T 2245-2014 森林防火地理信息系统技术规范》。</w:t>
      </w:r>
    </w:p>
    <w:p w14:paraId="75B7DF09">
      <w:pPr>
        <w:pStyle w:val="5"/>
      </w:pPr>
      <w:r>
        <w:rPr>
          <w:rFonts w:hint="eastAsia"/>
        </w:rPr>
        <w:t>总则</w:t>
      </w:r>
    </w:p>
    <w:p w14:paraId="75B7DF0A">
      <w:pPr>
        <w:ind w:firstLine="480"/>
        <w:rPr>
          <w:rFonts w:hint="eastAsia"/>
          <w:lang w:val="en-US"/>
        </w:rPr>
      </w:pPr>
      <w:r>
        <w:rPr>
          <w:rFonts w:hint="eastAsia"/>
          <w:lang w:val="en-US"/>
        </w:rPr>
        <w:t>一、背景与目的</w:t>
      </w:r>
    </w:p>
    <w:p w14:paraId="75B7DF0B">
      <w:pPr>
        <w:ind w:firstLine="480"/>
        <w:rPr>
          <w:rFonts w:hint="eastAsia"/>
          <w:lang w:val="en-US"/>
        </w:rPr>
      </w:pPr>
      <w:r>
        <w:rPr>
          <w:rFonts w:hint="eastAsia"/>
          <w:lang w:val="en-US"/>
        </w:rPr>
        <w:t>随着新一代信息技术在应急管理领域的深度融合应用，为彻底解决当前各子系统、各部门间存在的数据孤岛、格式异构、交换不畅、质量不一等突出问题，确保平台实现“全时监测、精准预警、快速联动、科学指挥”的核心目标，特制定本数据标准规范设计方案。</w:t>
      </w:r>
    </w:p>
    <w:p w14:paraId="75B7DF0C">
      <w:pPr>
        <w:ind w:firstLine="480"/>
        <w:rPr>
          <w:rFonts w:hint="eastAsia"/>
          <w:lang w:val="en-US"/>
        </w:rPr>
      </w:pPr>
      <w:r>
        <w:rPr>
          <w:rFonts w:hint="eastAsia"/>
          <w:lang w:val="en-US"/>
        </w:rPr>
        <w:t>二、设计目标</w:t>
      </w:r>
    </w:p>
    <w:p w14:paraId="75B7DF0D">
      <w:pPr>
        <w:ind w:firstLine="480"/>
        <w:rPr>
          <w:rFonts w:hint="eastAsia"/>
          <w:lang w:val="en-US"/>
        </w:rPr>
      </w:pPr>
      <w:r>
        <w:rPr>
          <w:rFonts w:hint="eastAsia"/>
          <w:lang w:val="en-US"/>
        </w:rPr>
        <w:t>本方案旨在构建一套统一、开放、安全、可扩展的数据标准体系，具体目标如下：</w:t>
      </w:r>
    </w:p>
    <w:p w14:paraId="75B7DF0E">
      <w:pPr>
        <w:ind w:firstLine="480"/>
        <w:rPr>
          <w:rFonts w:hint="eastAsia"/>
          <w:lang w:val="en-US"/>
        </w:rPr>
      </w:pPr>
      <w:r>
        <w:rPr>
          <w:rFonts w:hint="eastAsia"/>
          <w:lang w:val="en-US"/>
        </w:rPr>
        <w:t>1.实现数据互通：规范平台内部及与外部系统间的数据定义与交换方式，确保数据高效、准确流动。</w:t>
      </w:r>
    </w:p>
    <w:p w14:paraId="75B7DF0F">
      <w:pPr>
        <w:ind w:firstLine="480"/>
        <w:rPr>
          <w:rFonts w:hint="eastAsia"/>
          <w:lang w:val="en-US"/>
        </w:rPr>
      </w:pPr>
      <w:r>
        <w:rPr>
          <w:rFonts w:hint="eastAsia"/>
          <w:lang w:val="en-US"/>
        </w:rPr>
        <w:t>2.保障数据质量：建立数据全生命周期的质量控制机制，为决策分析提供可靠数据支撑。</w:t>
      </w:r>
    </w:p>
    <w:p w14:paraId="75B7DF10">
      <w:pPr>
        <w:ind w:firstLine="480"/>
        <w:rPr>
          <w:rFonts w:hint="eastAsia"/>
          <w:lang w:val="en-US"/>
        </w:rPr>
      </w:pPr>
      <w:r>
        <w:rPr>
          <w:rFonts w:hint="eastAsia"/>
          <w:lang w:val="en-US"/>
        </w:rPr>
        <w:t>3.强化数据安全：落实数据分类分级保护要求，确保敏感数据安全可控。</w:t>
      </w:r>
    </w:p>
    <w:p w14:paraId="75B7DF11">
      <w:pPr>
        <w:ind w:firstLine="480"/>
        <w:rPr>
          <w:rFonts w:hint="eastAsia"/>
          <w:lang w:val="en-US"/>
        </w:rPr>
      </w:pPr>
      <w:r>
        <w:rPr>
          <w:rFonts w:hint="eastAsia"/>
          <w:lang w:val="en-US"/>
        </w:rPr>
        <w:t>4.促进数据赋能：通过标准化释放数据价值，支撑智能分析、模拟推演等高级应用。</w:t>
      </w:r>
    </w:p>
    <w:p w14:paraId="75B7DF12">
      <w:pPr>
        <w:ind w:firstLine="480"/>
        <w:rPr>
          <w:rFonts w:hint="eastAsia"/>
          <w:lang w:val="en-US"/>
        </w:rPr>
      </w:pPr>
      <w:r>
        <w:rPr>
          <w:rFonts w:hint="eastAsia"/>
          <w:lang w:val="en-US"/>
        </w:rPr>
        <w:t>5.指导项目建设：为平台的设计、开发、集成与验收提供明确的数据层面技术依据。</w:t>
      </w:r>
    </w:p>
    <w:p w14:paraId="75B7DF13">
      <w:pPr>
        <w:ind w:firstLine="480"/>
        <w:rPr>
          <w:rFonts w:hint="eastAsia"/>
          <w:lang w:val="en-US"/>
        </w:rPr>
      </w:pPr>
      <w:r>
        <w:rPr>
          <w:rFonts w:hint="eastAsia"/>
          <w:lang w:val="en-US"/>
        </w:rPr>
        <w:t>三、适用范围与原则</w:t>
      </w:r>
    </w:p>
    <w:p w14:paraId="75B7DF14">
      <w:pPr>
        <w:ind w:firstLine="480"/>
        <w:rPr>
          <w:rFonts w:hint="eastAsia"/>
          <w:lang w:val="en-US"/>
        </w:rPr>
      </w:pPr>
      <w:r>
        <w:rPr>
          <w:rFonts w:hint="eastAsia"/>
          <w:lang w:val="en-US"/>
        </w:rPr>
        <w:t>适用范围：本规范适用于湖南省岳阳市森林火灾高风险区综合治理能力提升信息化建设的全部阶段，涵盖数据采集、传输、存储、处理、交换、服务、管理与销毁等全生命周期活动。所有参与项目建设的承建单位、供应商及后续运维方均需遵循。</w:t>
      </w:r>
    </w:p>
    <w:p w14:paraId="75B7DF15">
      <w:pPr>
        <w:ind w:firstLine="480"/>
        <w:rPr>
          <w:rFonts w:hint="eastAsia"/>
          <w:lang w:val="en-US"/>
        </w:rPr>
      </w:pPr>
      <w:r>
        <w:rPr>
          <w:rFonts w:hint="eastAsia"/>
          <w:lang w:val="en-US"/>
        </w:rPr>
        <w:t>核心原则：</w:t>
      </w:r>
    </w:p>
    <w:p w14:paraId="75B7DF16">
      <w:pPr>
        <w:ind w:firstLine="480"/>
        <w:rPr>
          <w:rFonts w:hint="eastAsia"/>
          <w:lang w:val="en-US"/>
        </w:rPr>
      </w:pPr>
      <w:r>
        <w:rPr>
          <w:rFonts w:hint="eastAsia"/>
          <w:lang w:val="en-US"/>
        </w:rPr>
        <w:t>统一性原则：建立平台级统一的数据模型、编码和接口，打破信息壁垒。</w:t>
      </w:r>
    </w:p>
    <w:p w14:paraId="75B7DF17">
      <w:pPr>
        <w:ind w:firstLine="480"/>
        <w:rPr>
          <w:rFonts w:hint="eastAsia"/>
          <w:lang w:val="en-US"/>
        </w:rPr>
      </w:pPr>
      <w:r>
        <w:rPr>
          <w:rFonts w:hint="eastAsia"/>
          <w:lang w:val="en-US"/>
        </w:rPr>
        <w:t>合规性原则：严格遵循《中华人民共和国数据安全法》《中华人民共和国网络安全法》及等保2.0等相关法律法规与政策要求。</w:t>
      </w:r>
    </w:p>
    <w:p w14:paraId="75B7DF18">
      <w:pPr>
        <w:ind w:firstLine="480"/>
        <w:rPr>
          <w:rFonts w:hint="eastAsia"/>
          <w:lang w:val="en-US"/>
        </w:rPr>
      </w:pPr>
      <w:r>
        <w:rPr>
          <w:rFonts w:hint="eastAsia"/>
          <w:lang w:val="en-US"/>
        </w:rPr>
        <w:t>实用性原则：标准设计紧密贴合森林防火实战业务需求，确保可落地、可操作。</w:t>
      </w:r>
    </w:p>
    <w:p w14:paraId="75B7DF19">
      <w:pPr>
        <w:ind w:firstLine="480"/>
        <w:rPr>
          <w:rFonts w:hint="eastAsia"/>
          <w:lang w:val="en-US"/>
        </w:rPr>
      </w:pPr>
      <w:r>
        <w:rPr>
          <w:rFonts w:hint="eastAsia"/>
          <w:lang w:val="en-US"/>
        </w:rPr>
        <w:t>前瞻性原则：充分考虑技术演进与业务发展，预留扩展空间，保护长期投资。</w:t>
      </w:r>
    </w:p>
    <w:p w14:paraId="75B7DF1A">
      <w:pPr>
        <w:ind w:firstLine="480"/>
        <w:rPr>
          <w:rFonts w:hint="eastAsia"/>
          <w:lang w:val="en-US"/>
        </w:rPr>
      </w:pPr>
      <w:r>
        <w:rPr>
          <w:rFonts w:hint="eastAsia"/>
          <w:lang w:val="en-US"/>
        </w:rPr>
        <w:t>兼容性原则：向下兼容现有系统数据，横向对接国家、行业及地方相关标准。</w:t>
      </w:r>
    </w:p>
    <w:p w14:paraId="75B7DF1B">
      <w:pPr>
        <w:pStyle w:val="5"/>
        <w:rPr>
          <w:lang w:val="en-US"/>
        </w:rPr>
      </w:pPr>
      <w:r>
        <w:rPr>
          <w:rFonts w:hint="eastAsia"/>
          <w:lang w:val="en-US"/>
        </w:rPr>
        <w:t>数据资源体系与分级分类</w:t>
      </w:r>
    </w:p>
    <w:p w14:paraId="75B7DF1C">
      <w:pPr>
        <w:ind w:firstLine="480"/>
        <w:rPr>
          <w:rFonts w:hint="eastAsia"/>
        </w:rPr>
      </w:pPr>
      <w:r>
        <w:rPr>
          <w:rFonts w:hint="eastAsia"/>
        </w:rPr>
        <w:t>一、数据资源全景视图</w:t>
      </w:r>
    </w:p>
    <w:p w14:paraId="75B7DF1D">
      <w:pPr>
        <w:ind w:firstLine="480"/>
        <w:rPr>
          <w:rFonts w:hint="eastAsia"/>
        </w:rPr>
      </w:pPr>
      <w:r>
        <w:rPr>
          <w:rFonts w:hint="eastAsia"/>
        </w:rPr>
        <w:t>平台数据资源体系围绕森林防火“监测－预警－处置－评估”业务闭环构建，主要包含以下四类核心数据资源：</w:t>
      </w:r>
    </w:p>
    <w:p w14:paraId="75B7DF1E">
      <w:pPr>
        <w:ind w:firstLine="480"/>
        <w:rPr>
          <w:rFonts w:hint="eastAsia"/>
        </w:rPr>
      </w:pPr>
      <w:r>
        <w:rPr>
          <w:rFonts w:hint="eastAsia"/>
        </w:rPr>
        <w:t>全域感知数据：通过前端智能监控、物联网传感器、无人机、卫星等获取的原始监测数据，是平台的“感官神经”。</w:t>
      </w:r>
    </w:p>
    <w:p w14:paraId="75B7DF1F">
      <w:pPr>
        <w:ind w:firstLine="480"/>
        <w:rPr>
          <w:rFonts w:hint="eastAsia"/>
        </w:rPr>
      </w:pPr>
      <w:r>
        <w:rPr>
          <w:rFonts w:hint="eastAsia"/>
        </w:rPr>
        <w:t>融合分析数据：对原始数据进行智能识别、空间分析、融合处理后产生的火情告警、态势分析等衍生数据，是平台的“大脑研判”。</w:t>
      </w:r>
    </w:p>
    <w:p w14:paraId="75B7DF20">
      <w:pPr>
        <w:ind w:firstLine="480"/>
        <w:rPr>
          <w:rFonts w:hint="eastAsia"/>
        </w:rPr>
      </w:pPr>
      <w:r>
        <w:rPr>
          <w:rFonts w:hint="eastAsia"/>
        </w:rPr>
        <w:t>应急业务数据：围绕指挥调度、资源管理、应急通讯等业务活动产生的过程与结果数据，是平台的“行动记录”。</w:t>
      </w:r>
    </w:p>
    <w:p w14:paraId="75B7DF21">
      <w:pPr>
        <w:ind w:firstLine="480"/>
        <w:rPr>
          <w:rFonts w:hint="eastAsia"/>
        </w:rPr>
      </w:pPr>
      <w:r>
        <w:rPr>
          <w:rFonts w:hint="eastAsia"/>
        </w:rPr>
        <w:t>基础支撑数据：包括电子地图、森防资源、气象信息、预案法规等静态或半静态数据，是平台的“知识库”。</w:t>
      </w:r>
    </w:p>
    <w:p w14:paraId="75B7DF22">
      <w:pPr>
        <w:ind w:firstLine="480"/>
        <w:rPr>
          <w:rFonts w:hint="eastAsia"/>
        </w:rPr>
      </w:pPr>
      <w:r>
        <w:rPr>
          <w:rFonts w:hint="eastAsia"/>
        </w:rPr>
        <w:t>二、数据分类与分级保护</w:t>
      </w:r>
    </w:p>
    <w:p w14:paraId="75B7DF23">
      <w:pPr>
        <w:ind w:firstLine="480"/>
        <w:rPr>
          <w:rFonts w:hint="eastAsia"/>
        </w:rPr>
      </w:pPr>
      <w:r>
        <w:rPr>
          <w:rFonts w:hint="eastAsia"/>
        </w:rPr>
        <w:t>为实施精细化安全管理，依据数据敏感性及遭篡改、破坏、泄露后造成的危害程度，对平台数据实行分类分级管理。</w:t>
      </w:r>
    </w:p>
    <w:tbl>
      <w:tblPr>
        <w:tblStyle w:val="38"/>
        <w:tblW w:w="5000" w:type="pct"/>
        <w:tblInd w:w="0" w:type="dxa"/>
        <w:tblLayout w:type="autofit"/>
        <w:tblCellMar>
          <w:top w:w="0" w:type="dxa"/>
          <w:left w:w="108" w:type="dxa"/>
          <w:bottom w:w="0" w:type="dxa"/>
          <w:right w:w="108" w:type="dxa"/>
        </w:tblCellMar>
      </w:tblPr>
      <w:tblGrid>
        <w:gridCol w:w="1120"/>
        <w:gridCol w:w="1160"/>
        <w:gridCol w:w="1105"/>
        <w:gridCol w:w="2284"/>
        <w:gridCol w:w="2637"/>
      </w:tblGrid>
      <w:tr w14:paraId="75B7DF29">
        <w:tblPrEx>
          <w:tblCellMar>
            <w:top w:w="0" w:type="dxa"/>
            <w:left w:w="108" w:type="dxa"/>
            <w:bottom w:w="0" w:type="dxa"/>
            <w:right w:w="108" w:type="dxa"/>
          </w:tblCellMar>
        </w:tblPrEx>
        <w:trPr>
          <w:trHeight w:val="276" w:hRule="atLeast"/>
          <w:tblHeader/>
        </w:trPr>
        <w:tc>
          <w:tcPr>
            <w:tcW w:w="674" w:type="pct"/>
            <w:tcBorders>
              <w:top w:val="single" w:color="auto" w:sz="4" w:space="0"/>
              <w:left w:val="single" w:color="auto" w:sz="4" w:space="0"/>
              <w:bottom w:val="single" w:color="auto" w:sz="4" w:space="0"/>
              <w:right w:val="single" w:color="auto" w:sz="4" w:space="0"/>
            </w:tcBorders>
            <w:vAlign w:val="center"/>
          </w:tcPr>
          <w:p w14:paraId="75B7DF24">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数据大类</w:t>
            </w:r>
          </w:p>
        </w:tc>
        <w:tc>
          <w:tcPr>
            <w:tcW w:w="698" w:type="pct"/>
            <w:tcBorders>
              <w:top w:val="single" w:color="auto" w:sz="4" w:space="0"/>
              <w:left w:val="nil"/>
              <w:bottom w:val="single" w:color="auto" w:sz="4" w:space="0"/>
              <w:right w:val="single" w:color="auto" w:sz="4" w:space="0"/>
            </w:tcBorders>
            <w:vAlign w:val="center"/>
          </w:tcPr>
          <w:p w14:paraId="75B7DF25">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数据子类</w:t>
            </w:r>
          </w:p>
        </w:tc>
        <w:tc>
          <w:tcPr>
            <w:tcW w:w="665" w:type="pct"/>
            <w:tcBorders>
              <w:top w:val="single" w:color="auto" w:sz="4" w:space="0"/>
              <w:left w:val="nil"/>
              <w:bottom w:val="single" w:color="auto" w:sz="4" w:space="0"/>
              <w:right w:val="single" w:color="auto" w:sz="4" w:space="0"/>
            </w:tcBorders>
            <w:vAlign w:val="center"/>
          </w:tcPr>
          <w:p w14:paraId="75B7DF26">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数据级别</w:t>
            </w:r>
          </w:p>
        </w:tc>
        <w:tc>
          <w:tcPr>
            <w:tcW w:w="1374" w:type="pct"/>
            <w:tcBorders>
              <w:top w:val="single" w:color="auto" w:sz="4" w:space="0"/>
              <w:left w:val="nil"/>
              <w:bottom w:val="single" w:color="auto" w:sz="4" w:space="0"/>
              <w:right w:val="single" w:color="auto" w:sz="4" w:space="0"/>
            </w:tcBorders>
            <w:vAlign w:val="center"/>
          </w:tcPr>
          <w:p w14:paraId="75B7DF27">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保密要求</w:t>
            </w:r>
          </w:p>
        </w:tc>
        <w:tc>
          <w:tcPr>
            <w:tcW w:w="1586" w:type="pct"/>
            <w:tcBorders>
              <w:top w:val="single" w:color="auto" w:sz="4" w:space="0"/>
              <w:left w:val="nil"/>
              <w:bottom w:val="single" w:color="auto" w:sz="4" w:space="0"/>
              <w:right w:val="single" w:color="auto" w:sz="4" w:space="0"/>
            </w:tcBorders>
            <w:vAlign w:val="center"/>
          </w:tcPr>
          <w:p w14:paraId="75B7DF28">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典型示例</w:t>
            </w:r>
          </w:p>
        </w:tc>
      </w:tr>
      <w:tr w14:paraId="75B7DF2F">
        <w:tblPrEx>
          <w:tblCellMar>
            <w:top w:w="0" w:type="dxa"/>
            <w:left w:w="108" w:type="dxa"/>
            <w:bottom w:w="0" w:type="dxa"/>
            <w:right w:w="108" w:type="dxa"/>
          </w:tblCellMar>
        </w:tblPrEx>
        <w:trPr>
          <w:trHeight w:val="828" w:hRule="atLeast"/>
        </w:trPr>
        <w:tc>
          <w:tcPr>
            <w:tcW w:w="674" w:type="pct"/>
            <w:vMerge w:val="restart"/>
            <w:tcBorders>
              <w:top w:val="nil"/>
              <w:left w:val="single" w:color="auto" w:sz="4" w:space="0"/>
              <w:bottom w:val="single" w:color="auto" w:sz="4" w:space="0"/>
              <w:right w:val="single" w:color="auto" w:sz="4" w:space="0"/>
            </w:tcBorders>
            <w:vAlign w:val="center"/>
          </w:tcPr>
          <w:p w14:paraId="75B7DF2A">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核心防控数据</w:t>
            </w:r>
          </w:p>
        </w:tc>
        <w:tc>
          <w:tcPr>
            <w:tcW w:w="698" w:type="pct"/>
            <w:tcBorders>
              <w:top w:val="nil"/>
              <w:left w:val="nil"/>
              <w:bottom w:val="single" w:color="auto" w:sz="4" w:space="0"/>
              <w:right w:val="single" w:color="auto" w:sz="4" w:space="0"/>
            </w:tcBorders>
            <w:vAlign w:val="center"/>
          </w:tcPr>
          <w:p w14:paraId="75B7DF2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实时火情与处置数据</w:t>
            </w:r>
          </w:p>
        </w:tc>
        <w:tc>
          <w:tcPr>
            <w:tcW w:w="665" w:type="pct"/>
            <w:tcBorders>
              <w:top w:val="nil"/>
              <w:left w:val="nil"/>
              <w:bottom w:val="single" w:color="auto" w:sz="4" w:space="0"/>
              <w:right w:val="single" w:color="auto" w:sz="4" w:space="0"/>
            </w:tcBorders>
            <w:vAlign w:val="center"/>
          </w:tcPr>
          <w:p w14:paraId="75B7DF2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L3（高）</w:t>
            </w:r>
          </w:p>
        </w:tc>
        <w:tc>
          <w:tcPr>
            <w:tcW w:w="1374" w:type="pct"/>
            <w:tcBorders>
              <w:top w:val="nil"/>
              <w:left w:val="nil"/>
              <w:bottom w:val="single" w:color="auto" w:sz="4" w:space="0"/>
              <w:right w:val="single" w:color="auto" w:sz="4" w:space="0"/>
            </w:tcBorders>
            <w:vAlign w:val="center"/>
          </w:tcPr>
          <w:p w14:paraId="75B7DF2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严格受限，授权访问，操作全审计</w:t>
            </w:r>
          </w:p>
        </w:tc>
        <w:tc>
          <w:tcPr>
            <w:tcW w:w="1586" w:type="pct"/>
            <w:tcBorders>
              <w:top w:val="nil"/>
              <w:left w:val="nil"/>
              <w:bottom w:val="single" w:color="auto" w:sz="4" w:space="0"/>
              <w:right w:val="single" w:color="auto" w:sz="4" w:space="0"/>
            </w:tcBorders>
            <w:vAlign w:val="center"/>
          </w:tcPr>
          <w:p w14:paraId="75B7DF2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精确火点坐标、火场态势图、兵力实时部署、指挥调度指令</w:t>
            </w:r>
          </w:p>
        </w:tc>
      </w:tr>
      <w:tr w14:paraId="75B7DF35">
        <w:tblPrEx>
          <w:tblCellMar>
            <w:top w:w="0" w:type="dxa"/>
            <w:left w:w="108" w:type="dxa"/>
            <w:bottom w:w="0" w:type="dxa"/>
            <w:right w:w="108" w:type="dxa"/>
          </w:tblCellMar>
        </w:tblPrEx>
        <w:trPr>
          <w:trHeight w:val="552" w:hRule="atLeast"/>
        </w:trPr>
        <w:tc>
          <w:tcPr>
            <w:tcW w:w="674" w:type="pct"/>
            <w:vMerge w:val="continue"/>
            <w:tcBorders>
              <w:top w:val="nil"/>
              <w:left w:val="single" w:color="auto" w:sz="4" w:space="0"/>
              <w:bottom w:val="single" w:color="auto" w:sz="4" w:space="0"/>
              <w:right w:val="single" w:color="auto" w:sz="4" w:space="0"/>
            </w:tcBorders>
            <w:vAlign w:val="center"/>
          </w:tcPr>
          <w:p w14:paraId="75B7DF30">
            <w:pPr>
              <w:widowControl/>
              <w:autoSpaceDE/>
              <w:autoSpaceDN/>
              <w:spacing w:line="240" w:lineRule="auto"/>
              <w:ind w:firstLine="0" w:firstLineChars="0"/>
              <w:rPr>
                <w:rFonts w:hint="eastAsia" w:ascii="仿宋_GB2312" w:hAnsi="等线"/>
                <w:b/>
                <w:bCs/>
                <w:sz w:val="21"/>
                <w:szCs w:val="21"/>
                <w:lang w:val="en-US" w:bidi="ar-SA"/>
              </w:rPr>
            </w:pPr>
          </w:p>
        </w:tc>
        <w:tc>
          <w:tcPr>
            <w:tcW w:w="698" w:type="pct"/>
            <w:tcBorders>
              <w:top w:val="nil"/>
              <w:left w:val="nil"/>
              <w:bottom w:val="single" w:color="auto" w:sz="4" w:space="0"/>
              <w:right w:val="single" w:color="auto" w:sz="4" w:space="0"/>
            </w:tcBorders>
            <w:vAlign w:val="center"/>
          </w:tcPr>
          <w:p w14:paraId="75B7DF3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视频与告警数据</w:t>
            </w:r>
          </w:p>
        </w:tc>
        <w:tc>
          <w:tcPr>
            <w:tcW w:w="665" w:type="pct"/>
            <w:tcBorders>
              <w:top w:val="nil"/>
              <w:left w:val="nil"/>
              <w:bottom w:val="single" w:color="auto" w:sz="4" w:space="0"/>
              <w:right w:val="single" w:color="auto" w:sz="4" w:space="0"/>
            </w:tcBorders>
            <w:vAlign w:val="center"/>
          </w:tcPr>
          <w:p w14:paraId="75B7DF3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L3（高）</w:t>
            </w:r>
          </w:p>
        </w:tc>
        <w:tc>
          <w:tcPr>
            <w:tcW w:w="1374" w:type="pct"/>
            <w:tcBorders>
              <w:top w:val="nil"/>
              <w:left w:val="nil"/>
              <w:bottom w:val="single" w:color="auto" w:sz="4" w:space="0"/>
              <w:right w:val="single" w:color="auto" w:sz="4" w:space="0"/>
            </w:tcBorders>
            <w:vAlign w:val="center"/>
          </w:tcPr>
          <w:p w14:paraId="75B7DF3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内部受限，专网传输，存储加密</w:t>
            </w:r>
          </w:p>
        </w:tc>
        <w:tc>
          <w:tcPr>
            <w:tcW w:w="1586" w:type="pct"/>
            <w:tcBorders>
              <w:top w:val="nil"/>
              <w:left w:val="nil"/>
              <w:bottom w:val="single" w:color="auto" w:sz="4" w:space="0"/>
              <w:right w:val="single" w:color="auto" w:sz="4" w:space="0"/>
            </w:tcBorders>
            <w:vAlign w:val="center"/>
          </w:tcPr>
          <w:p w14:paraId="75B7DF3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热成像视频流、烟火识别原始告警信息</w:t>
            </w:r>
          </w:p>
        </w:tc>
      </w:tr>
      <w:tr w14:paraId="75B7DF3B">
        <w:tblPrEx>
          <w:tblCellMar>
            <w:top w:w="0" w:type="dxa"/>
            <w:left w:w="108" w:type="dxa"/>
            <w:bottom w:w="0" w:type="dxa"/>
            <w:right w:w="108" w:type="dxa"/>
          </w:tblCellMar>
        </w:tblPrEx>
        <w:trPr>
          <w:trHeight w:val="552" w:hRule="atLeast"/>
        </w:trPr>
        <w:tc>
          <w:tcPr>
            <w:tcW w:w="674" w:type="pct"/>
            <w:vMerge w:val="restart"/>
            <w:tcBorders>
              <w:top w:val="nil"/>
              <w:left w:val="single" w:color="auto" w:sz="4" w:space="0"/>
              <w:bottom w:val="single" w:color="auto" w:sz="4" w:space="0"/>
              <w:right w:val="single" w:color="auto" w:sz="4" w:space="0"/>
            </w:tcBorders>
            <w:vAlign w:val="center"/>
          </w:tcPr>
          <w:p w14:paraId="75B7DF36">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重要资源数据</w:t>
            </w:r>
          </w:p>
        </w:tc>
        <w:tc>
          <w:tcPr>
            <w:tcW w:w="698" w:type="pct"/>
            <w:tcBorders>
              <w:top w:val="nil"/>
              <w:left w:val="nil"/>
              <w:bottom w:val="single" w:color="auto" w:sz="4" w:space="0"/>
              <w:right w:val="single" w:color="auto" w:sz="4" w:space="0"/>
            </w:tcBorders>
            <w:vAlign w:val="center"/>
          </w:tcPr>
          <w:p w14:paraId="75B7DF3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高精度地理信息</w:t>
            </w:r>
          </w:p>
        </w:tc>
        <w:tc>
          <w:tcPr>
            <w:tcW w:w="665" w:type="pct"/>
            <w:tcBorders>
              <w:top w:val="nil"/>
              <w:left w:val="nil"/>
              <w:bottom w:val="single" w:color="auto" w:sz="4" w:space="0"/>
              <w:right w:val="single" w:color="auto" w:sz="4" w:space="0"/>
            </w:tcBorders>
            <w:vAlign w:val="center"/>
          </w:tcPr>
          <w:p w14:paraId="75B7DF3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L2（中）</w:t>
            </w:r>
          </w:p>
        </w:tc>
        <w:tc>
          <w:tcPr>
            <w:tcW w:w="1374" w:type="pct"/>
            <w:tcBorders>
              <w:top w:val="nil"/>
              <w:left w:val="nil"/>
              <w:bottom w:val="single" w:color="auto" w:sz="4" w:space="0"/>
              <w:right w:val="single" w:color="auto" w:sz="4" w:space="0"/>
            </w:tcBorders>
            <w:vAlign w:val="center"/>
          </w:tcPr>
          <w:p w14:paraId="75B7DF3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内部共享，控制分发范围</w:t>
            </w:r>
          </w:p>
        </w:tc>
        <w:tc>
          <w:tcPr>
            <w:tcW w:w="1586" w:type="pct"/>
            <w:tcBorders>
              <w:top w:val="nil"/>
              <w:left w:val="nil"/>
              <w:bottom w:val="single" w:color="auto" w:sz="4" w:space="0"/>
              <w:right w:val="single" w:color="auto" w:sz="4" w:space="0"/>
            </w:tcBorders>
            <w:vAlign w:val="center"/>
          </w:tcPr>
          <w:p w14:paraId="75B7DF3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1:1万地形图、林相图、重点设施精确点位</w:t>
            </w:r>
          </w:p>
        </w:tc>
      </w:tr>
      <w:tr w14:paraId="75B7DF41">
        <w:tblPrEx>
          <w:tblCellMar>
            <w:top w:w="0" w:type="dxa"/>
            <w:left w:w="108" w:type="dxa"/>
            <w:bottom w:w="0" w:type="dxa"/>
            <w:right w:w="108" w:type="dxa"/>
          </w:tblCellMar>
        </w:tblPrEx>
        <w:trPr>
          <w:trHeight w:val="552" w:hRule="atLeast"/>
        </w:trPr>
        <w:tc>
          <w:tcPr>
            <w:tcW w:w="674" w:type="pct"/>
            <w:vMerge w:val="continue"/>
            <w:tcBorders>
              <w:top w:val="nil"/>
              <w:left w:val="single" w:color="auto" w:sz="4" w:space="0"/>
              <w:bottom w:val="single" w:color="auto" w:sz="4" w:space="0"/>
              <w:right w:val="single" w:color="auto" w:sz="4" w:space="0"/>
            </w:tcBorders>
            <w:vAlign w:val="center"/>
          </w:tcPr>
          <w:p w14:paraId="75B7DF3C">
            <w:pPr>
              <w:widowControl/>
              <w:autoSpaceDE/>
              <w:autoSpaceDN/>
              <w:spacing w:line="240" w:lineRule="auto"/>
              <w:ind w:firstLine="0" w:firstLineChars="0"/>
              <w:rPr>
                <w:rFonts w:hint="eastAsia" w:ascii="仿宋_GB2312" w:hAnsi="等线"/>
                <w:b/>
                <w:bCs/>
                <w:sz w:val="21"/>
                <w:szCs w:val="21"/>
                <w:lang w:val="en-US" w:bidi="ar-SA"/>
              </w:rPr>
            </w:pPr>
          </w:p>
        </w:tc>
        <w:tc>
          <w:tcPr>
            <w:tcW w:w="698" w:type="pct"/>
            <w:tcBorders>
              <w:top w:val="nil"/>
              <w:left w:val="nil"/>
              <w:bottom w:val="single" w:color="auto" w:sz="4" w:space="0"/>
              <w:right w:val="single" w:color="auto" w:sz="4" w:space="0"/>
            </w:tcBorders>
            <w:vAlign w:val="center"/>
          </w:tcPr>
          <w:p w14:paraId="75B7DF3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应急资源与预案</w:t>
            </w:r>
          </w:p>
        </w:tc>
        <w:tc>
          <w:tcPr>
            <w:tcW w:w="665" w:type="pct"/>
            <w:tcBorders>
              <w:top w:val="nil"/>
              <w:left w:val="nil"/>
              <w:bottom w:val="single" w:color="auto" w:sz="4" w:space="0"/>
              <w:right w:val="single" w:color="auto" w:sz="4" w:space="0"/>
            </w:tcBorders>
            <w:vAlign w:val="center"/>
          </w:tcPr>
          <w:p w14:paraId="75B7DF3E">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L2（中）</w:t>
            </w:r>
          </w:p>
        </w:tc>
        <w:tc>
          <w:tcPr>
            <w:tcW w:w="1374" w:type="pct"/>
            <w:tcBorders>
              <w:top w:val="nil"/>
              <w:left w:val="nil"/>
              <w:bottom w:val="single" w:color="auto" w:sz="4" w:space="0"/>
              <w:right w:val="single" w:color="auto" w:sz="4" w:space="0"/>
            </w:tcBorders>
            <w:vAlign w:val="center"/>
          </w:tcPr>
          <w:p w14:paraId="75B7DF3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内部共享，按需授权</w:t>
            </w:r>
          </w:p>
        </w:tc>
        <w:tc>
          <w:tcPr>
            <w:tcW w:w="1586" w:type="pct"/>
            <w:tcBorders>
              <w:top w:val="nil"/>
              <w:left w:val="nil"/>
              <w:bottom w:val="single" w:color="auto" w:sz="4" w:space="0"/>
              <w:right w:val="single" w:color="auto" w:sz="4" w:space="0"/>
            </w:tcBorders>
            <w:vAlign w:val="center"/>
          </w:tcPr>
          <w:p w14:paraId="75B7DF4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救援队伍详情、物资储备库分布、专项应急预案</w:t>
            </w:r>
          </w:p>
        </w:tc>
      </w:tr>
      <w:tr w14:paraId="75B7DF47">
        <w:tblPrEx>
          <w:tblCellMar>
            <w:top w:w="0" w:type="dxa"/>
            <w:left w:w="108" w:type="dxa"/>
            <w:bottom w:w="0" w:type="dxa"/>
            <w:right w:w="108" w:type="dxa"/>
          </w:tblCellMar>
        </w:tblPrEx>
        <w:trPr>
          <w:trHeight w:val="552" w:hRule="atLeast"/>
        </w:trPr>
        <w:tc>
          <w:tcPr>
            <w:tcW w:w="674" w:type="pct"/>
            <w:vMerge w:val="restart"/>
            <w:tcBorders>
              <w:top w:val="nil"/>
              <w:left w:val="single" w:color="auto" w:sz="4" w:space="0"/>
              <w:bottom w:val="single" w:color="auto" w:sz="4" w:space="0"/>
              <w:right w:val="single" w:color="auto" w:sz="4" w:space="0"/>
            </w:tcBorders>
            <w:vAlign w:val="center"/>
          </w:tcPr>
          <w:p w14:paraId="75B7DF42">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一般管理数据</w:t>
            </w:r>
          </w:p>
        </w:tc>
        <w:tc>
          <w:tcPr>
            <w:tcW w:w="698" w:type="pct"/>
            <w:tcBorders>
              <w:top w:val="nil"/>
              <w:left w:val="nil"/>
              <w:bottom w:val="single" w:color="auto" w:sz="4" w:space="0"/>
              <w:right w:val="single" w:color="auto" w:sz="4" w:space="0"/>
            </w:tcBorders>
            <w:vAlign w:val="center"/>
          </w:tcPr>
          <w:p w14:paraId="75B7DF4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设备运行状态数据</w:t>
            </w:r>
          </w:p>
        </w:tc>
        <w:tc>
          <w:tcPr>
            <w:tcW w:w="665" w:type="pct"/>
            <w:tcBorders>
              <w:top w:val="nil"/>
              <w:left w:val="nil"/>
              <w:bottom w:val="single" w:color="auto" w:sz="4" w:space="0"/>
              <w:right w:val="single" w:color="auto" w:sz="4" w:space="0"/>
            </w:tcBorders>
            <w:vAlign w:val="center"/>
          </w:tcPr>
          <w:p w14:paraId="75B7DF4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L1（低）</w:t>
            </w:r>
          </w:p>
        </w:tc>
        <w:tc>
          <w:tcPr>
            <w:tcW w:w="1374" w:type="pct"/>
            <w:tcBorders>
              <w:top w:val="nil"/>
              <w:left w:val="nil"/>
              <w:bottom w:val="single" w:color="auto" w:sz="4" w:space="0"/>
              <w:right w:val="single" w:color="auto" w:sz="4" w:space="0"/>
            </w:tcBorders>
            <w:vAlign w:val="center"/>
          </w:tcPr>
          <w:p w14:paraId="75B7DF4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可在一定范围内公开</w:t>
            </w:r>
          </w:p>
        </w:tc>
        <w:tc>
          <w:tcPr>
            <w:tcW w:w="1586" w:type="pct"/>
            <w:tcBorders>
              <w:top w:val="nil"/>
              <w:left w:val="nil"/>
              <w:bottom w:val="single" w:color="auto" w:sz="4" w:space="0"/>
              <w:right w:val="single" w:color="auto" w:sz="4" w:space="0"/>
            </w:tcBorders>
            <w:vAlign w:val="center"/>
          </w:tcPr>
          <w:p w14:paraId="75B7DF4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摄像机在线状态、传感器电池电量、网络通断情况</w:t>
            </w:r>
          </w:p>
        </w:tc>
      </w:tr>
      <w:tr w14:paraId="75B7DF4D">
        <w:tblPrEx>
          <w:tblCellMar>
            <w:top w:w="0" w:type="dxa"/>
            <w:left w:w="108" w:type="dxa"/>
            <w:bottom w:w="0" w:type="dxa"/>
            <w:right w:w="108" w:type="dxa"/>
          </w:tblCellMar>
        </w:tblPrEx>
        <w:trPr>
          <w:trHeight w:val="552" w:hRule="atLeast"/>
        </w:trPr>
        <w:tc>
          <w:tcPr>
            <w:tcW w:w="674" w:type="pct"/>
            <w:vMerge w:val="continue"/>
            <w:tcBorders>
              <w:top w:val="nil"/>
              <w:left w:val="single" w:color="auto" w:sz="4" w:space="0"/>
              <w:bottom w:val="single" w:color="auto" w:sz="4" w:space="0"/>
              <w:right w:val="single" w:color="auto" w:sz="4" w:space="0"/>
            </w:tcBorders>
            <w:vAlign w:val="center"/>
          </w:tcPr>
          <w:p w14:paraId="75B7DF48">
            <w:pPr>
              <w:widowControl/>
              <w:autoSpaceDE/>
              <w:autoSpaceDN/>
              <w:spacing w:line="240" w:lineRule="auto"/>
              <w:ind w:firstLine="0" w:firstLineChars="0"/>
              <w:rPr>
                <w:rFonts w:hint="eastAsia" w:ascii="仿宋_GB2312" w:hAnsi="等线"/>
                <w:b/>
                <w:bCs/>
                <w:sz w:val="21"/>
                <w:szCs w:val="21"/>
                <w:lang w:val="en-US" w:bidi="ar-SA"/>
              </w:rPr>
            </w:pPr>
          </w:p>
        </w:tc>
        <w:tc>
          <w:tcPr>
            <w:tcW w:w="698" w:type="pct"/>
            <w:tcBorders>
              <w:top w:val="nil"/>
              <w:left w:val="nil"/>
              <w:bottom w:val="single" w:color="auto" w:sz="4" w:space="0"/>
              <w:right w:val="single" w:color="auto" w:sz="4" w:space="0"/>
            </w:tcBorders>
            <w:vAlign w:val="center"/>
          </w:tcPr>
          <w:p w14:paraId="75B7DF4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日常业务管理数据</w:t>
            </w:r>
          </w:p>
        </w:tc>
        <w:tc>
          <w:tcPr>
            <w:tcW w:w="665" w:type="pct"/>
            <w:tcBorders>
              <w:top w:val="nil"/>
              <w:left w:val="nil"/>
              <w:bottom w:val="single" w:color="auto" w:sz="4" w:space="0"/>
              <w:right w:val="single" w:color="auto" w:sz="4" w:space="0"/>
            </w:tcBorders>
            <w:vAlign w:val="center"/>
          </w:tcPr>
          <w:p w14:paraId="75B7DF4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L1（低）</w:t>
            </w:r>
          </w:p>
        </w:tc>
        <w:tc>
          <w:tcPr>
            <w:tcW w:w="1374" w:type="pct"/>
            <w:tcBorders>
              <w:top w:val="nil"/>
              <w:left w:val="nil"/>
              <w:bottom w:val="single" w:color="auto" w:sz="4" w:space="0"/>
              <w:right w:val="single" w:color="auto" w:sz="4" w:space="0"/>
            </w:tcBorders>
            <w:vAlign w:val="center"/>
          </w:tcPr>
          <w:p w14:paraId="75B7DF4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内部公开</w:t>
            </w:r>
          </w:p>
        </w:tc>
        <w:tc>
          <w:tcPr>
            <w:tcW w:w="1586" w:type="pct"/>
            <w:tcBorders>
              <w:top w:val="nil"/>
              <w:left w:val="nil"/>
              <w:bottom w:val="single" w:color="auto" w:sz="4" w:space="0"/>
              <w:right w:val="single" w:color="auto" w:sz="4" w:space="0"/>
            </w:tcBorders>
            <w:vAlign w:val="center"/>
          </w:tcPr>
          <w:p w14:paraId="75B7DF4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人员培训记录、设备巡检日志、非敏感统计报表</w:t>
            </w:r>
          </w:p>
        </w:tc>
      </w:tr>
    </w:tbl>
    <w:p w14:paraId="75B7DF4E">
      <w:pPr>
        <w:ind w:firstLine="480"/>
        <w:rPr>
          <w:rFonts w:hint="eastAsia"/>
          <w:lang w:val="en-US"/>
        </w:rPr>
      </w:pPr>
    </w:p>
    <w:p w14:paraId="75B7DF4F">
      <w:pPr>
        <w:pStyle w:val="5"/>
        <w:rPr>
          <w:lang w:val="en-US"/>
        </w:rPr>
      </w:pPr>
      <w:r>
        <w:rPr>
          <w:rFonts w:hint="eastAsia"/>
          <w:lang w:val="en-US"/>
        </w:rPr>
        <w:t>核心数据标准设计</w:t>
      </w:r>
    </w:p>
    <w:p w14:paraId="75B7DF50">
      <w:pPr>
        <w:ind w:firstLine="480"/>
        <w:rPr>
          <w:rFonts w:hint="eastAsia"/>
          <w:lang w:val="en-US"/>
        </w:rPr>
      </w:pPr>
      <w:r>
        <w:rPr>
          <w:rFonts w:hint="eastAsia"/>
          <w:lang w:val="en-US"/>
        </w:rPr>
        <w:t>一、基础通用标准</w:t>
      </w:r>
    </w:p>
    <w:p w14:paraId="75B7DF51">
      <w:pPr>
        <w:ind w:firstLine="480"/>
        <w:rPr>
          <w:rFonts w:hint="eastAsia"/>
          <w:lang w:val="en-US"/>
        </w:rPr>
      </w:pPr>
      <w:r>
        <w:rPr>
          <w:rFonts w:hint="eastAsia"/>
          <w:lang w:val="en-US"/>
        </w:rPr>
        <w:t>时空基准：平台所有涉及时空的数据，必须采用统一的时空参考系。</w:t>
      </w:r>
    </w:p>
    <w:p w14:paraId="75B7DF52">
      <w:pPr>
        <w:ind w:firstLine="480"/>
        <w:rPr>
          <w:rFonts w:hint="eastAsia"/>
          <w:lang w:val="en-US"/>
        </w:rPr>
      </w:pPr>
      <w:r>
        <w:rPr>
          <w:rFonts w:hint="eastAsia"/>
          <w:lang w:val="en-US"/>
        </w:rPr>
        <w:t>1.时间基准：采用协调世界时（UTC），数据内部存储与交换时间格式需统一。</w:t>
      </w:r>
    </w:p>
    <w:p w14:paraId="75B7DF53">
      <w:pPr>
        <w:ind w:firstLine="480"/>
        <w:rPr>
          <w:rFonts w:hint="eastAsia"/>
          <w:lang w:val="en-US"/>
        </w:rPr>
      </w:pPr>
      <w:r>
        <w:rPr>
          <w:rFonts w:hint="eastAsia"/>
          <w:lang w:val="en-US"/>
        </w:rPr>
        <w:t>2.空间基准：</w:t>
      </w:r>
    </w:p>
    <w:p w14:paraId="75B7DF54">
      <w:pPr>
        <w:ind w:firstLine="480"/>
        <w:rPr>
          <w:rFonts w:hint="eastAsia"/>
          <w:lang w:val="en-US"/>
        </w:rPr>
      </w:pPr>
      <w:r>
        <w:rPr>
          <w:rFonts w:hint="eastAsia"/>
          <w:lang w:val="en-US"/>
        </w:rPr>
        <w:t>平面坐标系：采用国家大地坐标系CGCS2000。</w:t>
      </w:r>
    </w:p>
    <w:p w14:paraId="75B7DF55">
      <w:pPr>
        <w:ind w:firstLine="480"/>
        <w:rPr>
          <w:rFonts w:hint="eastAsia"/>
          <w:lang w:val="en-US"/>
        </w:rPr>
      </w:pPr>
      <w:r>
        <w:rPr>
          <w:rFonts w:hint="eastAsia"/>
          <w:lang w:val="en-US"/>
        </w:rPr>
        <w:t>高程基准：采用1985国家高程基准。</w:t>
      </w:r>
    </w:p>
    <w:p w14:paraId="75B7DF56">
      <w:pPr>
        <w:ind w:firstLine="480"/>
        <w:rPr>
          <w:rFonts w:hint="eastAsia"/>
          <w:lang w:val="en-US"/>
        </w:rPr>
      </w:pPr>
      <w:r>
        <w:rPr>
          <w:rFonts w:hint="eastAsia"/>
          <w:lang w:val="en-US"/>
        </w:rPr>
        <w:t>网格标准：为便于空间统计与分析，采用30米×30米标准网格对林区进行划分。</w:t>
      </w:r>
    </w:p>
    <w:p w14:paraId="75B7DF57">
      <w:pPr>
        <w:ind w:firstLine="480"/>
        <w:rPr>
          <w:rFonts w:hint="eastAsia"/>
          <w:lang w:val="en-US"/>
        </w:rPr>
      </w:pPr>
      <w:r>
        <w:rPr>
          <w:rFonts w:hint="eastAsia"/>
          <w:lang w:val="en-US"/>
        </w:rPr>
        <w:t>数据编码规范：对森林防火领域的实体对象（如设备、队伍、火情事件）制定唯一标识编码规则。</w:t>
      </w:r>
    </w:p>
    <w:p w14:paraId="75B7DF58">
      <w:pPr>
        <w:ind w:firstLine="480"/>
        <w:rPr>
          <w:rFonts w:hint="eastAsia"/>
          <w:lang w:val="en-US"/>
        </w:rPr>
      </w:pPr>
      <w:r>
        <w:rPr>
          <w:rFonts w:hint="eastAsia"/>
          <w:lang w:val="en-US"/>
        </w:rPr>
        <w:t>二、视频监控数据标准</w:t>
      </w:r>
    </w:p>
    <w:p w14:paraId="75B7DF59">
      <w:pPr>
        <w:ind w:firstLine="480"/>
        <w:rPr>
          <w:rFonts w:hint="eastAsia"/>
          <w:lang w:val="en-US"/>
        </w:rPr>
      </w:pPr>
      <w:r>
        <w:rPr>
          <w:rFonts w:hint="eastAsia"/>
          <w:lang w:val="en-US"/>
        </w:rPr>
        <w:t>视频数据是平台的核心数据源，其标准需兼顾高质量分析与高效传输。</w:t>
      </w:r>
    </w:p>
    <w:p w14:paraId="75B7DF5A">
      <w:pPr>
        <w:ind w:firstLine="480"/>
        <w:rPr>
          <w:rFonts w:hint="eastAsia"/>
          <w:lang w:val="en-US"/>
        </w:rPr>
      </w:pPr>
      <w:r>
        <w:rPr>
          <w:rFonts w:hint="eastAsia"/>
          <w:lang w:val="en-US"/>
        </w:rPr>
        <w:t>1.采集与编码标准：</w:t>
      </w:r>
    </w:p>
    <w:p w14:paraId="75B7DF5B">
      <w:pPr>
        <w:ind w:firstLine="480"/>
        <w:rPr>
          <w:rFonts w:hint="eastAsia"/>
          <w:lang w:val="en-US"/>
        </w:rPr>
      </w:pPr>
      <w:r>
        <w:rPr>
          <w:rFonts w:hint="eastAsia"/>
          <w:lang w:val="en-US"/>
        </w:rPr>
        <w:t>可见光视频：关键点位支持4K；编码优先采用H.265/HEVC，在同等画质下可比H.264节省约50%带宽。</w:t>
      </w:r>
    </w:p>
    <w:p w14:paraId="75B7DF5C">
      <w:pPr>
        <w:ind w:firstLine="480"/>
        <w:rPr>
          <w:rFonts w:hint="eastAsia"/>
          <w:lang w:val="en-US"/>
        </w:rPr>
      </w:pPr>
      <w:r>
        <w:rPr>
          <w:rFonts w:hint="eastAsia"/>
          <w:lang w:val="en-US"/>
        </w:rPr>
        <w:t>热成像视频：必须支持温度信息嵌入，测温精度符合设备标称值；编码可采用H.265或SVAC 2.0/3.0国家标准。</w:t>
      </w:r>
    </w:p>
    <w:p w14:paraId="75B7DF5D">
      <w:pPr>
        <w:ind w:firstLine="480"/>
        <w:rPr>
          <w:rFonts w:hint="eastAsia"/>
          <w:lang w:val="en-US"/>
        </w:rPr>
      </w:pPr>
      <w:r>
        <w:rPr>
          <w:rFonts w:hint="eastAsia"/>
          <w:lang w:val="en-US"/>
        </w:rPr>
        <w:t>元数据要求：每一帧视频流必须绑定时间戳、设备地理坐标、云台方位角（俯仰、偏航）、镜头焦距、设备健康状态等结构化元数据。</w:t>
      </w:r>
    </w:p>
    <w:p w14:paraId="75B7DF5E">
      <w:pPr>
        <w:ind w:firstLine="480"/>
        <w:rPr>
          <w:rFonts w:hint="eastAsia"/>
          <w:lang w:val="en-US"/>
        </w:rPr>
      </w:pPr>
      <w:r>
        <w:rPr>
          <w:rFonts w:hint="eastAsia"/>
          <w:lang w:val="en-US"/>
        </w:rPr>
        <w:t>2.智能分析数据标准：</w:t>
      </w:r>
    </w:p>
    <w:p w14:paraId="75B7DF5F">
      <w:pPr>
        <w:ind w:firstLine="480"/>
        <w:rPr>
          <w:rFonts w:hint="eastAsia"/>
          <w:lang w:val="en-US"/>
        </w:rPr>
      </w:pPr>
      <w:r>
        <w:rPr>
          <w:rFonts w:hint="eastAsia"/>
          <w:lang w:val="en-US"/>
        </w:rPr>
        <w:t>前端或中心智能分析产生的告警信息，应采用统一的语言进行描述，确保语义一致。</w:t>
      </w:r>
    </w:p>
    <w:p w14:paraId="75B7DF60">
      <w:pPr>
        <w:ind w:firstLine="480"/>
        <w:rPr>
          <w:rFonts w:hint="eastAsia"/>
          <w:lang w:val="en-US"/>
        </w:rPr>
      </w:pPr>
      <w:r>
        <w:rPr>
          <w:rFonts w:hint="eastAsia"/>
          <w:lang w:val="en-US"/>
        </w:rPr>
        <w:t>三、物联网与传感器数据标准</w:t>
      </w:r>
    </w:p>
    <w:p w14:paraId="75B7DF61">
      <w:pPr>
        <w:ind w:firstLine="480"/>
        <w:rPr>
          <w:rFonts w:hint="eastAsia"/>
          <w:lang w:val="en-US"/>
        </w:rPr>
      </w:pPr>
      <w:r>
        <w:rPr>
          <w:rFonts w:hint="eastAsia"/>
          <w:lang w:val="en-US"/>
        </w:rPr>
        <w:t>各类环境监测传感器数据需统一接入格式，确保海量异构数据有序融合。</w:t>
      </w:r>
    </w:p>
    <w:p w14:paraId="75B7DF62">
      <w:pPr>
        <w:ind w:firstLine="480"/>
        <w:rPr>
          <w:rFonts w:hint="eastAsia"/>
          <w:lang w:val="en-US"/>
        </w:rPr>
      </w:pPr>
      <w:r>
        <w:rPr>
          <w:rFonts w:hint="eastAsia"/>
          <w:lang w:val="en-US"/>
        </w:rPr>
        <w:t>数据格式：采用轻量级的JSON格式，包含“表头－数据体－校验”三部分。</w:t>
      </w:r>
    </w:p>
    <w:p w14:paraId="75B7DF63">
      <w:pPr>
        <w:ind w:firstLine="480"/>
        <w:rPr>
          <w:rFonts w:hint="eastAsia"/>
          <w:lang w:val="en-US"/>
        </w:rPr>
      </w:pPr>
      <w:r>
        <w:rPr>
          <w:rFonts w:hint="eastAsia"/>
          <w:lang w:val="en-US"/>
        </w:rPr>
        <w:t>通信协议：优先采用MQTT协议，适用于低带宽、不稳定网络环境，支持订阅/发布模式，便于扩展。</w:t>
      </w:r>
    </w:p>
    <w:p w14:paraId="75B7DF64">
      <w:pPr>
        <w:ind w:firstLine="480"/>
        <w:rPr>
          <w:rFonts w:hint="eastAsia"/>
          <w:lang w:val="en-US"/>
        </w:rPr>
      </w:pPr>
      <w:r>
        <w:rPr>
          <w:rFonts w:hint="eastAsia"/>
          <w:lang w:val="en-US"/>
        </w:rPr>
        <w:t>四、应急指挥与业务数据标准</w:t>
      </w:r>
    </w:p>
    <w:p w14:paraId="75B7DF65">
      <w:pPr>
        <w:ind w:firstLine="480"/>
        <w:rPr>
          <w:rFonts w:hint="eastAsia"/>
          <w:lang w:val="en-US"/>
        </w:rPr>
      </w:pPr>
      <w:r>
        <w:rPr>
          <w:rFonts w:hint="eastAsia"/>
          <w:lang w:val="en-US"/>
        </w:rPr>
        <w:t>围绕火情处置流程，规范指挥调度、资源管理等业务数据。</w:t>
      </w:r>
    </w:p>
    <w:p w14:paraId="75B7DF66">
      <w:pPr>
        <w:ind w:firstLine="480"/>
        <w:rPr>
          <w:rFonts w:hint="eastAsia"/>
          <w:lang w:val="en-US"/>
        </w:rPr>
      </w:pPr>
      <w:r>
        <w:rPr>
          <w:rFonts w:hint="eastAsia"/>
          <w:lang w:val="en-US"/>
        </w:rPr>
        <w:t>火情事件数据模型：定义从发现、核实、上报、处置到结束的全过程数据字段，实现事件轨迹全程可追溯。</w:t>
      </w:r>
    </w:p>
    <w:p w14:paraId="75B7DF67">
      <w:pPr>
        <w:ind w:firstLine="480"/>
        <w:rPr>
          <w:rFonts w:hint="eastAsia"/>
          <w:lang w:val="en-US"/>
        </w:rPr>
      </w:pPr>
      <w:r>
        <w:rPr>
          <w:rFonts w:hint="eastAsia"/>
          <w:lang w:val="en-US"/>
        </w:rPr>
        <w:t>资源状态数据标准：对救援队伍、消防车辆、物资装备等，定义统一的“身份－位置－状态－能力”数据模型，实现资源一张图动态管理。</w:t>
      </w:r>
    </w:p>
    <w:p w14:paraId="75B7DF68">
      <w:pPr>
        <w:pStyle w:val="5"/>
      </w:pPr>
      <w:r>
        <w:rPr>
          <w:rFonts w:hint="eastAsia"/>
        </w:rPr>
        <w:t>数据交换与共享接口规范</w:t>
      </w:r>
    </w:p>
    <w:p w14:paraId="75B7DF69">
      <w:pPr>
        <w:ind w:firstLine="480"/>
        <w:rPr>
          <w:rFonts w:hint="eastAsia"/>
          <w:lang w:val="en-US"/>
        </w:rPr>
      </w:pPr>
      <w:r>
        <w:rPr>
          <w:rFonts w:hint="eastAsia"/>
          <w:lang w:val="en-US"/>
        </w:rPr>
        <w:t>一、数据交换总体架构</w:t>
      </w:r>
    </w:p>
    <w:p w14:paraId="75B7DF6A">
      <w:pPr>
        <w:ind w:firstLine="480"/>
        <w:rPr>
          <w:rFonts w:hint="eastAsia"/>
          <w:lang w:val="en-US"/>
        </w:rPr>
      </w:pPr>
      <w:r>
        <w:rPr>
          <w:rFonts w:hint="eastAsia"/>
          <w:lang w:val="en-US"/>
        </w:rPr>
        <w:t>平台数据交换遵循“内部融合、纵向贯通、横向协同”的架构。</w:t>
      </w:r>
    </w:p>
    <w:p w14:paraId="75B7DF6B">
      <w:pPr>
        <w:ind w:firstLine="480"/>
        <w:rPr>
          <w:rFonts w:hint="eastAsia"/>
          <w:lang w:val="en-US"/>
        </w:rPr>
      </w:pPr>
      <w:r>
        <w:rPr>
          <w:rFonts w:hint="eastAsia"/>
          <w:lang w:val="en-US"/>
        </w:rPr>
        <w:t>内部交换：平台各子系统间，通过消息中间件和统一服务总线进行高效、解耦的数据交换。</w:t>
      </w:r>
    </w:p>
    <w:p w14:paraId="75B7DF6C">
      <w:pPr>
        <w:ind w:firstLine="480"/>
        <w:rPr>
          <w:rFonts w:hint="eastAsia"/>
          <w:lang w:val="en-US"/>
        </w:rPr>
      </w:pPr>
      <w:r>
        <w:rPr>
          <w:rFonts w:hint="eastAsia"/>
          <w:lang w:val="en-US"/>
        </w:rPr>
        <w:t>纵向交换：与上级（国家、省）应急管理平台、下级（市、县）指挥中心，通过政务数据交换平台或应急指挥专网，按既定目录和频率交换数据。</w:t>
      </w:r>
    </w:p>
    <w:p w14:paraId="75B7DF6D">
      <w:pPr>
        <w:ind w:firstLine="480"/>
        <w:rPr>
          <w:rFonts w:hint="eastAsia"/>
          <w:lang w:val="en-US"/>
        </w:rPr>
      </w:pPr>
      <w:r>
        <w:rPr>
          <w:rFonts w:hint="eastAsia"/>
          <w:lang w:val="en-US"/>
        </w:rPr>
        <w:t>横向交换：与气象、自然资源、公安、交通运输部部门，通过地方数据共享平台或API网关进行按需、安全的数据共享。</w:t>
      </w:r>
    </w:p>
    <w:p w14:paraId="75B7DF6E">
      <w:pPr>
        <w:ind w:firstLine="480"/>
        <w:rPr>
          <w:rFonts w:hint="eastAsia"/>
          <w:lang w:val="en-US"/>
        </w:rPr>
      </w:pPr>
      <w:r>
        <w:rPr>
          <w:rFonts w:hint="eastAsia"/>
          <w:lang w:val="en-US"/>
        </w:rPr>
        <w:t>二、核心API接口规范</w:t>
      </w:r>
    </w:p>
    <w:p w14:paraId="75B7DF6F">
      <w:pPr>
        <w:ind w:firstLine="480"/>
        <w:rPr>
          <w:rFonts w:hint="eastAsia"/>
          <w:lang w:val="en-US"/>
        </w:rPr>
      </w:pPr>
      <w:r>
        <w:rPr>
          <w:rFonts w:hint="eastAsia"/>
          <w:lang w:val="en-US"/>
        </w:rPr>
        <w:t>所有对外提供的数据服务接口，须制定统一规范。</w:t>
      </w:r>
    </w:p>
    <w:p w14:paraId="75B7DF70">
      <w:pPr>
        <w:ind w:firstLine="480"/>
        <w:rPr>
          <w:rFonts w:hint="eastAsia"/>
          <w:lang w:val="en-US"/>
        </w:rPr>
      </w:pPr>
      <w:r>
        <w:rPr>
          <w:rFonts w:hint="eastAsia"/>
          <w:lang w:val="en-US"/>
        </w:rPr>
        <w:t>1.视频流服务接口：</w:t>
      </w:r>
    </w:p>
    <w:p w14:paraId="75B7DF71">
      <w:pPr>
        <w:ind w:firstLine="480"/>
        <w:rPr>
          <w:rFonts w:hint="eastAsia"/>
          <w:lang w:val="en-US"/>
        </w:rPr>
      </w:pPr>
      <w:r>
        <w:rPr>
          <w:rFonts w:hint="eastAsia"/>
          <w:lang w:val="en-US"/>
        </w:rPr>
        <w:t>接入：支持GB/T 28181-2022国标协议，兼容主流厂商设备。</w:t>
      </w:r>
    </w:p>
    <w:p w14:paraId="75B7DF72">
      <w:pPr>
        <w:ind w:firstLine="480"/>
        <w:rPr>
          <w:rFonts w:hint="eastAsia"/>
          <w:lang w:val="en-US"/>
        </w:rPr>
      </w:pPr>
      <w:r>
        <w:rPr>
          <w:rFonts w:hint="eastAsia"/>
          <w:lang w:val="en-US"/>
        </w:rPr>
        <w:t>调阅：提供标准化的RTSP、HLS、WebRTC流媒体地址获取接口。</w:t>
      </w:r>
    </w:p>
    <w:p w14:paraId="75B7DF73">
      <w:pPr>
        <w:ind w:firstLine="480"/>
        <w:rPr>
          <w:rFonts w:hint="eastAsia"/>
          <w:lang w:val="en-US"/>
        </w:rPr>
      </w:pPr>
      <w:r>
        <w:rPr>
          <w:rFonts w:hint="eastAsia"/>
          <w:lang w:val="en-US"/>
        </w:rPr>
        <w:t>2.数据服务接口：</w:t>
      </w:r>
    </w:p>
    <w:p w14:paraId="75B7DF74">
      <w:pPr>
        <w:ind w:firstLine="480"/>
        <w:rPr>
          <w:rFonts w:hint="eastAsia"/>
          <w:lang w:val="en-US"/>
        </w:rPr>
      </w:pPr>
      <w:r>
        <w:rPr>
          <w:rFonts w:hint="eastAsia"/>
          <w:lang w:val="en-US"/>
        </w:rPr>
        <w:t>统一数据查询接口：支持对各类数据（告警、资源、传感器）进行带有时空、属性过滤条件的分页查询。</w:t>
      </w:r>
    </w:p>
    <w:p w14:paraId="75B7DF75">
      <w:pPr>
        <w:ind w:firstLine="480"/>
        <w:rPr>
          <w:rFonts w:hint="eastAsia"/>
          <w:lang w:val="en-US"/>
        </w:rPr>
      </w:pPr>
      <w:r>
        <w:rPr>
          <w:rFonts w:hint="eastAsia"/>
          <w:lang w:val="en-US"/>
        </w:rPr>
        <w:t>数据上报接口：为前端设备、移动终端提供标准化的数据上报入口，支持断点续传和批量上传。</w:t>
      </w:r>
    </w:p>
    <w:p w14:paraId="75B7DF76">
      <w:pPr>
        <w:pStyle w:val="5"/>
      </w:pPr>
      <w:r>
        <w:rPr>
          <w:rFonts w:hint="eastAsia"/>
        </w:rPr>
        <w:t>数据质量管理与安全控制</w:t>
      </w:r>
    </w:p>
    <w:p w14:paraId="75B7DF77">
      <w:pPr>
        <w:ind w:firstLine="480"/>
        <w:rPr>
          <w:rFonts w:hint="eastAsia"/>
          <w:lang w:val="en-US"/>
        </w:rPr>
      </w:pPr>
      <w:r>
        <w:rPr>
          <w:rFonts w:hint="eastAsia"/>
          <w:lang w:val="en-US"/>
        </w:rPr>
        <w:t>一、全生命周期数据质量管理</w:t>
      </w:r>
    </w:p>
    <w:p w14:paraId="75B7DF78">
      <w:pPr>
        <w:ind w:firstLine="480"/>
        <w:rPr>
          <w:rFonts w:hint="eastAsia"/>
          <w:lang w:val="en-US"/>
        </w:rPr>
      </w:pPr>
      <w:r>
        <w:rPr>
          <w:rFonts w:hint="eastAsia"/>
          <w:lang w:val="en-US"/>
        </w:rPr>
        <w:t>建立涵盖完整性、准确性、一致性、时效性、可用性五个维度的数据质量度量与提升体系。</w:t>
      </w:r>
    </w:p>
    <w:p w14:paraId="75B7DF79">
      <w:pPr>
        <w:ind w:firstLine="480"/>
        <w:rPr>
          <w:rFonts w:hint="eastAsia"/>
          <w:lang w:val="en-US"/>
        </w:rPr>
      </w:pPr>
      <w:r>
        <w:rPr>
          <w:rFonts w:hint="eastAsia"/>
          <w:lang w:val="en-US"/>
        </w:rPr>
        <w:t>事前预防：在数据录入和采集端设置校验规则（如取值范围、格式、逻辑）。</w:t>
      </w:r>
    </w:p>
    <w:p w14:paraId="75B7DF7A">
      <w:pPr>
        <w:ind w:firstLine="480"/>
        <w:rPr>
          <w:rFonts w:hint="eastAsia"/>
          <w:lang w:val="en-US"/>
        </w:rPr>
      </w:pPr>
      <w:r>
        <w:rPr>
          <w:rFonts w:hint="eastAsia"/>
          <w:lang w:val="en-US"/>
        </w:rPr>
        <w:t>事中监控：建立实时数据质量监控仪表盘，对缺失率、异常值、延迟进行告警。</w:t>
      </w:r>
    </w:p>
    <w:p w14:paraId="75B7DF7B">
      <w:pPr>
        <w:ind w:firstLine="480"/>
        <w:rPr>
          <w:rFonts w:hint="eastAsia"/>
          <w:lang w:val="en-US"/>
        </w:rPr>
      </w:pPr>
      <w:r>
        <w:rPr>
          <w:rFonts w:hint="eastAsia"/>
          <w:lang w:val="en-US"/>
        </w:rPr>
        <w:t>事后治理：定期开展数据质量评估，建立问题数据的发现、分发、修正、验证的闭环治理流程。</w:t>
      </w:r>
    </w:p>
    <w:p w14:paraId="75B7DF7C">
      <w:pPr>
        <w:ind w:firstLine="480"/>
        <w:rPr>
          <w:rFonts w:hint="eastAsia"/>
          <w:lang w:val="en-US"/>
        </w:rPr>
      </w:pPr>
      <w:r>
        <w:rPr>
          <w:rFonts w:hint="eastAsia"/>
          <w:lang w:val="en-US"/>
        </w:rPr>
        <w:t>二、全方位数据安全控制</w:t>
      </w:r>
    </w:p>
    <w:p w14:paraId="75B7DF7D">
      <w:pPr>
        <w:ind w:firstLine="480"/>
        <w:rPr>
          <w:rFonts w:hint="eastAsia"/>
          <w:lang w:val="en-US"/>
        </w:rPr>
      </w:pPr>
      <w:r>
        <w:rPr>
          <w:rFonts w:hint="eastAsia"/>
          <w:lang w:val="en-US"/>
        </w:rPr>
        <w:t>1.数据加密：</w:t>
      </w:r>
    </w:p>
    <w:p w14:paraId="75B7DF7E">
      <w:pPr>
        <w:ind w:firstLine="480"/>
        <w:rPr>
          <w:rFonts w:hint="eastAsia"/>
          <w:lang w:val="en-US"/>
        </w:rPr>
      </w:pPr>
      <w:r>
        <w:rPr>
          <w:rFonts w:hint="eastAsia"/>
          <w:lang w:val="en-US"/>
        </w:rPr>
        <w:t>传输加密：全部网络通信使用TLS 1.3及以上协议加密。涉密或高敏感数据支持采用国密SM2/SM4算法。</w:t>
      </w:r>
    </w:p>
    <w:p w14:paraId="75B7DF7F">
      <w:pPr>
        <w:ind w:firstLine="480"/>
        <w:rPr>
          <w:rFonts w:hint="eastAsia"/>
          <w:lang w:val="en-US"/>
        </w:rPr>
      </w:pPr>
      <w:r>
        <w:rPr>
          <w:rFonts w:hint="eastAsia"/>
          <w:lang w:val="en-US"/>
        </w:rPr>
        <w:t>存储加密：对L2、L3级数据，在数据库或文件系统层面实施AES-256透明加密。</w:t>
      </w:r>
    </w:p>
    <w:p w14:paraId="75B7DF80">
      <w:pPr>
        <w:ind w:firstLine="480"/>
        <w:rPr>
          <w:rFonts w:hint="eastAsia"/>
          <w:lang w:val="en-US"/>
        </w:rPr>
      </w:pPr>
      <w:r>
        <w:rPr>
          <w:rFonts w:hint="eastAsia"/>
          <w:lang w:val="en-US"/>
        </w:rPr>
        <w:t>2.访问控制：</w:t>
      </w:r>
    </w:p>
    <w:p w14:paraId="75B7DF81">
      <w:pPr>
        <w:ind w:firstLine="480"/>
        <w:rPr>
          <w:rFonts w:hint="eastAsia"/>
          <w:lang w:val="en-US"/>
        </w:rPr>
      </w:pPr>
      <w:r>
        <w:rPr>
          <w:rFonts w:hint="eastAsia"/>
          <w:lang w:val="en-US"/>
        </w:rPr>
        <w:t>采用 “基于角色的访问控制（RBAC）” 与 “基于属性的访问控制（ABAC）” 相结合的动态模型。</w:t>
      </w:r>
    </w:p>
    <w:p w14:paraId="75B7DF82">
      <w:pPr>
        <w:ind w:firstLine="480"/>
        <w:rPr>
          <w:rFonts w:hint="eastAsia"/>
          <w:lang w:val="en-US"/>
        </w:rPr>
      </w:pPr>
      <w:r>
        <w:rPr>
          <w:rFonts w:hint="eastAsia"/>
          <w:lang w:val="en-US"/>
        </w:rPr>
        <w:t>对视频调阅、指挥指令下达等高危操作，实行 “双因素认证+二次确认” 机制。</w:t>
      </w:r>
    </w:p>
    <w:p w14:paraId="75B7DF83">
      <w:pPr>
        <w:ind w:firstLine="480"/>
        <w:rPr>
          <w:rFonts w:hint="eastAsia"/>
          <w:lang w:val="en-US"/>
        </w:rPr>
      </w:pPr>
      <w:r>
        <w:rPr>
          <w:rFonts w:hint="eastAsia"/>
          <w:lang w:val="en-US"/>
        </w:rPr>
        <w:t>3.数据脱敏：对面向不同用户（如公众、协作单位）的数据服务，根据其权限实施动态脱敏（如地理位置模糊化、人员信息部分隐藏）。</w:t>
      </w:r>
    </w:p>
    <w:p w14:paraId="75B7DF84">
      <w:pPr>
        <w:pStyle w:val="4"/>
        <w:rPr>
          <w:rFonts w:hint="eastAsia"/>
        </w:rPr>
      </w:pPr>
      <w:bookmarkStart w:id="149" w:name="_Toc8081"/>
      <w:r>
        <w:rPr>
          <w:rFonts w:hint="eastAsia"/>
        </w:rPr>
        <w:t>项目信息资源采集需求</w:t>
      </w:r>
      <w:bookmarkEnd w:id="149"/>
    </w:p>
    <w:p w14:paraId="75B7DF85">
      <w:pPr>
        <w:ind w:firstLine="480"/>
        <w:rPr>
          <w:rFonts w:hint="eastAsia"/>
        </w:rPr>
      </w:pPr>
      <w:r>
        <w:rPr>
          <w:rFonts w:hint="eastAsia"/>
        </w:rPr>
        <w:t>本项目非通过数据共享采集的信息资源。数据来源和采集方式如下：</w:t>
      </w:r>
    </w:p>
    <w:tbl>
      <w:tblPr>
        <w:tblStyle w:val="38"/>
        <w:tblW w:w="5000" w:type="pct"/>
        <w:tblInd w:w="0" w:type="dxa"/>
        <w:tblLayout w:type="autofit"/>
        <w:tblCellMar>
          <w:top w:w="0" w:type="dxa"/>
          <w:left w:w="108" w:type="dxa"/>
          <w:bottom w:w="0" w:type="dxa"/>
          <w:right w:w="108" w:type="dxa"/>
        </w:tblCellMar>
      </w:tblPr>
      <w:tblGrid>
        <w:gridCol w:w="1501"/>
        <w:gridCol w:w="1773"/>
        <w:gridCol w:w="2254"/>
        <w:gridCol w:w="2778"/>
      </w:tblGrid>
      <w:tr w14:paraId="75B7DF8A">
        <w:tblPrEx>
          <w:tblCellMar>
            <w:top w:w="0" w:type="dxa"/>
            <w:left w:w="108" w:type="dxa"/>
            <w:bottom w:w="0" w:type="dxa"/>
            <w:right w:w="108" w:type="dxa"/>
          </w:tblCellMar>
        </w:tblPrEx>
        <w:trPr>
          <w:trHeight w:val="240" w:hRule="atLeast"/>
          <w:tblHeader/>
        </w:trPr>
        <w:tc>
          <w:tcPr>
            <w:tcW w:w="904" w:type="pct"/>
            <w:tcBorders>
              <w:top w:val="single" w:color="auto" w:sz="4" w:space="0"/>
              <w:left w:val="single" w:color="auto" w:sz="4" w:space="0"/>
              <w:bottom w:val="single" w:color="auto" w:sz="4" w:space="0"/>
              <w:right w:val="single" w:color="auto" w:sz="4" w:space="0"/>
            </w:tcBorders>
            <w:vAlign w:val="center"/>
          </w:tcPr>
          <w:p w14:paraId="75B7DF8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信息资源类别</w:t>
            </w:r>
          </w:p>
        </w:tc>
        <w:tc>
          <w:tcPr>
            <w:tcW w:w="1067" w:type="pct"/>
            <w:tcBorders>
              <w:top w:val="single" w:color="auto" w:sz="4" w:space="0"/>
              <w:left w:val="nil"/>
              <w:bottom w:val="single" w:color="auto" w:sz="4" w:space="0"/>
              <w:right w:val="single" w:color="auto" w:sz="4" w:space="0"/>
            </w:tcBorders>
            <w:vAlign w:val="center"/>
          </w:tcPr>
          <w:p w14:paraId="75B7DF8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具体内容</w:t>
            </w:r>
          </w:p>
        </w:tc>
        <w:tc>
          <w:tcPr>
            <w:tcW w:w="1357" w:type="pct"/>
            <w:tcBorders>
              <w:top w:val="single" w:color="auto" w:sz="4" w:space="0"/>
              <w:left w:val="nil"/>
              <w:bottom w:val="single" w:color="auto" w:sz="4" w:space="0"/>
              <w:right w:val="single" w:color="auto" w:sz="4" w:space="0"/>
            </w:tcBorders>
            <w:vAlign w:val="center"/>
          </w:tcPr>
          <w:p w14:paraId="75B7DF8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数据来源</w:t>
            </w:r>
          </w:p>
        </w:tc>
        <w:tc>
          <w:tcPr>
            <w:tcW w:w="1672" w:type="pct"/>
            <w:tcBorders>
              <w:top w:val="single" w:color="auto" w:sz="4" w:space="0"/>
              <w:left w:val="nil"/>
              <w:bottom w:val="single" w:color="auto" w:sz="4" w:space="0"/>
              <w:right w:val="single" w:color="auto" w:sz="4" w:space="0"/>
            </w:tcBorders>
            <w:vAlign w:val="center"/>
          </w:tcPr>
          <w:p w14:paraId="75B7DF8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采集方式</w:t>
            </w:r>
          </w:p>
        </w:tc>
      </w:tr>
      <w:tr w14:paraId="75B7DF8F">
        <w:tblPrEx>
          <w:tblCellMar>
            <w:top w:w="0" w:type="dxa"/>
            <w:left w:w="108" w:type="dxa"/>
            <w:bottom w:w="0" w:type="dxa"/>
            <w:right w:w="108" w:type="dxa"/>
          </w:tblCellMar>
        </w:tblPrEx>
        <w:trPr>
          <w:trHeight w:val="720" w:hRule="atLeast"/>
        </w:trPr>
        <w:tc>
          <w:tcPr>
            <w:tcW w:w="904" w:type="pct"/>
            <w:tcBorders>
              <w:top w:val="nil"/>
              <w:left w:val="single" w:color="auto" w:sz="4" w:space="0"/>
              <w:bottom w:val="single" w:color="auto" w:sz="4" w:space="0"/>
              <w:right w:val="single" w:color="auto" w:sz="4" w:space="0"/>
            </w:tcBorders>
            <w:vAlign w:val="center"/>
          </w:tcPr>
          <w:p w14:paraId="75B7DF8B">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可见光/热成像视频流</w:t>
            </w:r>
          </w:p>
        </w:tc>
        <w:tc>
          <w:tcPr>
            <w:tcW w:w="1067" w:type="pct"/>
            <w:tcBorders>
              <w:top w:val="nil"/>
              <w:left w:val="nil"/>
              <w:bottom w:val="single" w:color="auto" w:sz="4" w:space="0"/>
              <w:right w:val="single" w:color="auto" w:sz="4" w:space="0"/>
            </w:tcBorders>
            <w:vAlign w:val="center"/>
          </w:tcPr>
          <w:p w14:paraId="75B7DF8C">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实时高清/热成像双光谱视频图像、视频流。</w:t>
            </w:r>
          </w:p>
        </w:tc>
        <w:tc>
          <w:tcPr>
            <w:tcW w:w="1357" w:type="pct"/>
            <w:tcBorders>
              <w:top w:val="nil"/>
              <w:left w:val="nil"/>
              <w:bottom w:val="single" w:color="auto" w:sz="4" w:space="0"/>
              <w:right w:val="single" w:color="auto" w:sz="4" w:space="0"/>
            </w:tcBorders>
            <w:vAlign w:val="center"/>
          </w:tcPr>
          <w:p w14:paraId="75B7DF8D">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项目自建部署在瞭望塔、铁塔等高点位的森林防火智能监控摄像机。</w:t>
            </w:r>
          </w:p>
        </w:tc>
        <w:tc>
          <w:tcPr>
            <w:tcW w:w="1672" w:type="pct"/>
            <w:tcBorders>
              <w:top w:val="nil"/>
              <w:left w:val="nil"/>
              <w:bottom w:val="single" w:color="auto" w:sz="4" w:space="0"/>
              <w:right w:val="single" w:color="auto" w:sz="4" w:space="0"/>
            </w:tcBorders>
            <w:vAlign w:val="center"/>
          </w:tcPr>
          <w:p w14:paraId="75B7DF8E">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摄像机7x24小时自动采集，通过光纤、无线专网、卫星等自有通信链路实时或准实时回传至中心平台。</w:t>
            </w:r>
          </w:p>
        </w:tc>
      </w:tr>
      <w:tr w14:paraId="75B7DF94">
        <w:tblPrEx>
          <w:tblCellMar>
            <w:top w:w="0" w:type="dxa"/>
            <w:left w:w="108" w:type="dxa"/>
            <w:bottom w:w="0" w:type="dxa"/>
            <w:right w:w="108" w:type="dxa"/>
          </w:tblCellMar>
        </w:tblPrEx>
        <w:trPr>
          <w:trHeight w:val="960" w:hRule="atLeast"/>
        </w:trPr>
        <w:tc>
          <w:tcPr>
            <w:tcW w:w="904" w:type="pct"/>
            <w:tcBorders>
              <w:top w:val="nil"/>
              <w:left w:val="single" w:color="auto" w:sz="4" w:space="0"/>
              <w:bottom w:val="single" w:color="auto" w:sz="4" w:space="0"/>
              <w:right w:val="single" w:color="auto" w:sz="4" w:space="0"/>
            </w:tcBorders>
            <w:vAlign w:val="center"/>
          </w:tcPr>
          <w:p w14:paraId="75B7DF90">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前端智能分析告警数据</w:t>
            </w:r>
          </w:p>
        </w:tc>
        <w:tc>
          <w:tcPr>
            <w:tcW w:w="1067" w:type="pct"/>
            <w:tcBorders>
              <w:top w:val="nil"/>
              <w:left w:val="nil"/>
              <w:bottom w:val="single" w:color="auto" w:sz="4" w:space="0"/>
              <w:right w:val="single" w:color="auto" w:sz="4" w:space="0"/>
            </w:tcBorders>
            <w:vAlign w:val="center"/>
          </w:tcPr>
          <w:p w14:paraId="75B7DF91">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烟火自动识别告警信息（时间、位置、火点像素、疑似强度）、烟雾识别告警、区域入侵告警等。</w:t>
            </w:r>
          </w:p>
        </w:tc>
        <w:tc>
          <w:tcPr>
            <w:tcW w:w="1357" w:type="pct"/>
            <w:tcBorders>
              <w:top w:val="nil"/>
              <w:left w:val="nil"/>
              <w:bottom w:val="single" w:color="auto" w:sz="4" w:space="0"/>
              <w:right w:val="single" w:color="auto" w:sz="4" w:space="0"/>
            </w:tcBorders>
            <w:vAlign w:val="center"/>
          </w:tcPr>
          <w:p w14:paraId="75B7DF92">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部署在前端摄像机的嵌入式AI分析模块或边缘计算设备。</w:t>
            </w:r>
          </w:p>
        </w:tc>
        <w:tc>
          <w:tcPr>
            <w:tcW w:w="1672" w:type="pct"/>
            <w:tcBorders>
              <w:top w:val="nil"/>
              <w:left w:val="nil"/>
              <w:bottom w:val="single" w:color="auto" w:sz="4" w:space="0"/>
              <w:right w:val="single" w:color="auto" w:sz="4" w:space="0"/>
            </w:tcBorders>
            <w:vAlign w:val="center"/>
          </w:tcPr>
          <w:p w14:paraId="75B7DF93">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前端设备对视频流进行实时分析，自动生成结构化告警事件数据，通过事件消息推送至平台。</w:t>
            </w:r>
          </w:p>
        </w:tc>
      </w:tr>
      <w:tr w14:paraId="75B7DF99">
        <w:tblPrEx>
          <w:tblCellMar>
            <w:top w:w="0" w:type="dxa"/>
            <w:left w:w="108" w:type="dxa"/>
            <w:bottom w:w="0" w:type="dxa"/>
            <w:right w:w="108" w:type="dxa"/>
          </w:tblCellMar>
        </w:tblPrEx>
        <w:trPr>
          <w:trHeight w:val="1200" w:hRule="atLeast"/>
        </w:trPr>
        <w:tc>
          <w:tcPr>
            <w:tcW w:w="904" w:type="pct"/>
            <w:tcBorders>
              <w:top w:val="nil"/>
              <w:left w:val="single" w:color="auto" w:sz="4" w:space="0"/>
              <w:bottom w:val="single" w:color="auto" w:sz="4" w:space="0"/>
              <w:right w:val="single" w:color="auto" w:sz="4" w:space="0"/>
            </w:tcBorders>
            <w:vAlign w:val="center"/>
          </w:tcPr>
          <w:p w14:paraId="75B7DF95">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感知设备状态数据</w:t>
            </w:r>
          </w:p>
        </w:tc>
        <w:tc>
          <w:tcPr>
            <w:tcW w:w="1067" w:type="pct"/>
            <w:tcBorders>
              <w:top w:val="nil"/>
              <w:left w:val="nil"/>
              <w:bottom w:val="single" w:color="auto" w:sz="4" w:space="0"/>
              <w:right w:val="single" w:color="auto" w:sz="4" w:space="0"/>
            </w:tcBorders>
            <w:vAlign w:val="center"/>
          </w:tcPr>
          <w:p w14:paraId="75B7DF96">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摄像机、云台、供电系统、通信模块的运行状态（在线/离线、温度、电压、镜头遮挡、角度等）。</w:t>
            </w:r>
          </w:p>
        </w:tc>
        <w:tc>
          <w:tcPr>
            <w:tcW w:w="1357" w:type="pct"/>
            <w:tcBorders>
              <w:top w:val="nil"/>
              <w:left w:val="nil"/>
              <w:bottom w:val="single" w:color="auto" w:sz="4" w:space="0"/>
              <w:right w:val="single" w:color="auto" w:sz="4" w:space="0"/>
            </w:tcBorders>
            <w:vAlign w:val="center"/>
          </w:tcPr>
          <w:p w14:paraId="75B7DF97">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前端监控设备自身的状态传感器和诊断模块。</w:t>
            </w:r>
          </w:p>
        </w:tc>
        <w:tc>
          <w:tcPr>
            <w:tcW w:w="1672" w:type="pct"/>
            <w:tcBorders>
              <w:top w:val="nil"/>
              <w:left w:val="nil"/>
              <w:bottom w:val="single" w:color="auto" w:sz="4" w:space="0"/>
              <w:right w:val="single" w:color="auto" w:sz="4" w:space="0"/>
            </w:tcBorders>
            <w:vAlign w:val="center"/>
          </w:tcPr>
          <w:p w14:paraId="75B7DF98">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设备通过协议（如GB/T 28181）定时上报心跳和状态信息，或由平台主动轮询获取。</w:t>
            </w:r>
          </w:p>
        </w:tc>
      </w:tr>
      <w:tr w14:paraId="75B7DF9E">
        <w:tblPrEx>
          <w:tblCellMar>
            <w:top w:w="0" w:type="dxa"/>
            <w:left w:w="108" w:type="dxa"/>
            <w:bottom w:w="0" w:type="dxa"/>
            <w:right w:w="108" w:type="dxa"/>
          </w:tblCellMar>
        </w:tblPrEx>
        <w:trPr>
          <w:trHeight w:val="1200" w:hRule="atLeast"/>
        </w:trPr>
        <w:tc>
          <w:tcPr>
            <w:tcW w:w="904" w:type="pct"/>
            <w:tcBorders>
              <w:top w:val="nil"/>
              <w:left w:val="single" w:color="auto" w:sz="4" w:space="0"/>
              <w:bottom w:val="single" w:color="auto" w:sz="4" w:space="0"/>
              <w:right w:val="single" w:color="auto" w:sz="4" w:space="0"/>
            </w:tcBorders>
            <w:vAlign w:val="center"/>
          </w:tcPr>
          <w:p w14:paraId="75B7DF9A">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平台操作与巡护日志</w:t>
            </w:r>
          </w:p>
        </w:tc>
        <w:tc>
          <w:tcPr>
            <w:tcW w:w="1067" w:type="pct"/>
            <w:tcBorders>
              <w:top w:val="nil"/>
              <w:left w:val="nil"/>
              <w:bottom w:val="single" w:color="auto" w:sz="4" w:space="0"/>
              <w:right w:val="single" w:color="auto" w:sz="4" w:space="0"/>
            </w:tcBorders>
            <w:vAlign w:val="center"/>
          </w:tcPr>
          <w:p w14:paraId="75B7DF9B">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平台用户的登录、操作、视频调阅、告警处置等日志；与平台绑定的移动巡护APP上报的巡护轨迹、事件记录。</w:t>
            </w:r>
          </w:p>
        </w:tc>
        <w:tc>
          <w:tcPr>
            <w:tcW w:w="1357" w:type="pct"/>
            <w:tcBorders>
              <w:top w:val="nil"/>
              <w:left w:val="nil"/>
              <w:bottom w:val="single" w:color="auto" w:sz="4" w:space="0"/>
              <w:right w:val="single" w:color="auto" w:sz="4" w:space="0"/>
            </w:tcBorders>
            <w:vAlign w:val="center"/>
          </w:tcPr>
          <w:p w14:paraId="75B7DF9C">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平台软件系统本身；移动巡护终端。</w:t>
            </w:r>
          </w:p>
        </w:tc>
        <w:tc>
          <w:tcPr>
            <w:tcW w:w="1672" w:type="pct"/>
            <w:tcBorders>
              <w:top w:val="nil"/>
              <w:left w:val="nil"/>
              <w:bottom w:val="single" w:color="auto" w:sz="4" w:space="0"/>
              <w:right w:val="single" w:color="auto" w:sz="4" w:space="0"/>
            </w:tcBorders>
            <w:vAlign w:val="center"/>
          </w:tcPr>
          <w:p w14:paraId="75B7DF9D">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平台后台自动记录所有用户操作行为；移动终端通过GPS/北斗定位并利用公共/专用网络上报轨迹和表单数据。</w:t>
            </w:r>
          </w:p>
        </w:tc>
      </w:tr>
      <w:tr w14:paraId="75B7DFA3">
        <w:tblPrEx>
          <w:tblCellMar>
            <w:top w:w="0" w:type="dxa"/>
            <w:left w:w="108" w:type="dxa"/>
            <w:bottom w:w="0" w:type="dxa"/>
            <w:right w:w="108" w:type="dxa"/>
          </w:tblCellMar>
        </w:tblPrEx>
        <w:trPr>
          <w:trHeight w:val="960" w:hRule="atLeast"/>
        </w:trPr>
        <w:tc>
          <w:tcPr>
            <w:tcW w:w="904" w:type="pct"/>
            <w:tcBorders>
              <w:top w:val="nil"/>
              <w:left w:val="single" w:color="auto" w:sz="4" w:space="0"/>
              <w:bottom w:val="single" w:color="auto" w:sz="4" w:space="0"/>
              <w:right w:val="single" w:color="auto" w:sz="4" w:space="0"/>
            </w:tcBorders>
            <w:vAlign w:val="center"/>
          </w:tcPr>
          <w:p w14:paraId="75B7DF9F">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无人机巡护数据</w:t>
            </w:r>
          </w:p>
        </w:tc>
        <w:tc>
          <w:tcPr>
            <w:tcW w:w="1067" w:type="pct"/>
            <w:tcBorders>
              <w:top w:val="nil"/>
              <w:left w:val="nil"/>
              <w:bottom w:val="single" w:color="auto" w:sz="4" w:space="0"/>
              <w:right w:val="single" w:color="auto" w:sz="4" w:space="0"/>
            </w:tcBorders>
            <w:vAlign w:val="center"/>
          </w:tcPr>
          <w:p w14:paraId="75B7DFA0">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火场空中全景视频、热力图、正射影像图、三维模型、精确火线位置与长度测量数据。</w:t>
            </w:r>
          </w:p>
        </w:tc>
        <w:tc>
          <w:tcPr>
            <w:tcW w:w="1357" w:type="pct"/>
            <w:tcBorders>
              <w:top w:val="nil"/>
              <w:left w:val="nil"/>
              <w:bottom w:val="single" w:color="auto" w:sz="4" w:space="0"/>
              <w:right w:val="single" w:color="auto" w:sz="4" w:space="0"/>
            </w:tcBorders>
            <w:vAlign w:val="center"/>
          </w:tcPr>
          <w:p w14:paraId="75B7DFA1">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项目配备的专用消防无人机系统（含无人机、载荷、地面站）。</w:t>
            </w:r>
          </w:p>
        </w:tc>
        <w:tc>
          <w:tcPr>
            <w:tcW w:w="1672" w:type="pct"/>
            <w:tcBorders>
              <w:top w:val="nil"/>
              <w:left w:val="nil"/>
              <w:bottom w:val="single" w:color="auto" w:sz="4" w:space="0"/>
              <w:right w:val="single" w:color="auto" w:sz="4" w:space="0"/>
            </w:tcBorders>
            <w:vAlign w:val="center"/>
          </w:tcPr>
          <w:p w14:paraId="75B7DFA2">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在发生火情或定期巡护时，由操作人员操控无人机起飞，通过专用数据链实时回传或任务后导出数据。</w:t>
            </w:r>
          </w:p>
        </w:tc>
      </w:tr>
      <w:tr w14:paraId="75B7DFA8">
        <w:tblPrEx>
          <w:tblCellMar>
            <w:top w:w="0" w:type="dxa"/>
            <w:left w:w="108" w:type="dxa"/>
            <w:bottom w:w="0" w:type="dxa"/>
            <w:right w:w="108" w:type="dxa"/>
          </w:tblCellMar>
        </w:tblPrEx>
        <w:trPr>
          <w:trHeight w:val="960" w:hRule="atLeast"/>
        </w:trPr>
        <w:tc>
          <w:tcPr>
            <w:tcW w:w="904" w:type="pct"/>
            <w:tcBorders>
              <w:top w:val="nil"/>
              <w:left w:val="single" w:color="auto" w:sz="4" w:space="0"/>
              <w:bottom w:val="single" w:color="auto" w:sz="4" w:space="0"/>
              <w:right w:val="single" w:color="auto" w:sz="4" w:space="0"/>
            </w:tcBorders>
            <w:vAlign w:val="center"/>
          </w:tcPr>
          <w:p w14:paraId="75B7DFA4">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高分辨率卫星热点数据</w:t>
            </w:r>
          </w:p>
        </w:tc>
        <w:tc>
          <w:tcPr>
            <w:tcW w:w="1067" w:type="pct"/>
            <w:tcBorders>
              <w:top w:val="nil"/>
              <w:left w:val="nil"/>
              <w:bottom w:val="single" w:color="auto" w:sz="4" w:space="0"/>
              <w:right w:val="single" w:color="auto" w:sz="4" w:space="0"/>
            </w:tcBorders>
            <w:vAlign w:val="center"/>
          </w:tcPr>
          <w:p w14:paraId="75B7DFA5">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亚米级/米级高分辨率商业卫星拍摄的热点监测图像与分析报告（用于核实、评估）。</w:t>
            </w:r>
          </w:p>
        </w:tc>
        <w:tc>
          <w:tcPr>
            <w:tcW w:w="1357" w:type="pct"/>
            <w:tcBorders>
              <w:top w:val="nil"/>
              <w:left w:val="nil"/>
              <w:bottom w:val="single" w:color="auto" w:sz="4" w:space="0"/>
              <w:right w:val="single" w:color="auto" w:sz="4" w:space="0"/>
            </w:tcBorders>
            <w:vAlign w:val="center"/>
          </w:tcPr>
          <w:p w14:paraId="75B7DFA6">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商业卫星运营商（如Planet, Airbus, 国内商业卫星公司）提供的付费数据服务。</w:t>
            </w:r>
          </w:p>
        </w:tc>
        <w:tc>
          <w:tcPr>
            <w:tcW w:w="1672" w:type="pct"/>
            <w:tcBorders>
              <w:top w:val="nil"/>
              <w:left w:val="nil"/>
              <w:bottom w:val="single" w:color="auto" w:sz="4" w:space="0"/>
              <w:right w:val="single" w:color="auto" w:sz="4" w:space="0"/>
            </w:tcBorders>
            <w:vAlign w:val="center"/>
          </w:tcPr>
          <w:p w14:paraId="75B7DFA7">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项目方根据需求，向服务商购买特定区域、特定时相的卫星数据产品和服务，通过专线或互联网接收。</w:t>
            </w:r>
          </w:p>
        </w:tc>
      </w:tr>
      <w:tr w14:paraId="75B7DFAD">
        <w:tblPrEx>
          <w:tblCellMar>
            <w:top w:w="0" w:type="dxa"/>
            <w:left w:w="108" w:type="dxa"/>
            <w:bottom w:w="0" w:type="dxa"/>
            <w:right w:w="108" w:type="dxa"/>
          </w:tblCellMar>
        </w:tblPrEx>
        <w:trPr>
          <w:trHeight w:val="960" w:hRule="atLeast"/>
        </w:trPr>
        <w:tc>
          <w:tcPr>
            <w:tcW w:w="904" w:type="pct"/>
            <w:tcBorders>
              <w:top w:val="nil"/>
              <w:left w:val="single" w:color="auto" w:sz="4" w:space="0"/>
              <w:bottom w:val="single" w:color="auto" w:sz="4" w:space="0"/>
              <w:right w:val="single" w:color="auto" w:sz="4" w:space="0"/>
            </w:tcBorders>
            <w:vAlign w:val="center"/>
          </w:tcPr>
          <w:p w14:paraId="75B7DFA9">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精细化气象监测数据</w:t>
            </w:r>
          </w:p>
        </w:tc>
        <w:tc>
          <w:tcPr>
            <w:tcW w:w="1067" w:type="pct"/>
            <w:tcBorders>
              <w:top w:val="nil"/>
              <w:left w:val="nil"/>
              <w:bottom w:val="single" w:color="auto" w:sz="4" w:space="0"/>
              <w:right w:val="single" w:color="auto" w:sz="4" w:space="0"/>
            </w:tcBorders>
            <w:vAlign w:val="center"/>
          </w:tcPr>
          <w:p w14:paraId="75B7DFAA">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林区小气候站的实时数据（温度、湿度、风向、风速、降雨量、土壤温湿度）。</w:t>
            </w:r>
          </w:p>
        </w:tc>
        <w:tc>
          <w:tcPr>
            <w:tcW w:w="1357" w:type="pct"/>
            <w:tcBorders>
              <w:top w:val="nil"/>
              <w:left w:val="nil"/>
              <w:bottom w:val="single" w:color="auto" w:sz="4" w:space="0"/>
              <w:right w:val="single" w:color="auto" w:sz="4" w:space="0"/>
            </w:tcBorders>
            <w:vAlign w:val="center"/>
          </w:tcPr>
          <w:p w14:paraId="75B7DFAB">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项目在重点林区自行建设或补点建设的微型气象站。</w:t>
            </w:r>
          </w:p>
        </w:tc>
        <w:tc>
          <w:tcPr>
            <w:tcW w:w="1672" w:type="pct"/>
            <w:tcBorders>
              <w:top w:val="nil"/>
              <w:left w:val="nil"/>
              <w:bottom w:val="single" w:color="auto" w:sz="4" w:space="0"/>
              <w:right w:val="single" w:color="auto" w:sz="4" w:space="0"/>
            </w:tcBorders>
            <w:vAlign w:val="center"/>
          </w:tcPr>
          <w:p w14:paraId="75B7DFAC">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气象站传感器自动采集，通过物联网（如LoRa, NB-IoT）或无线网络定时上报至平台。</w:t>
            </w:r>
          </w:p>
        </w:tc>
      </w:tr>
      <w:tr w14:paraId="75B7DFB2">
        <w:tblPrEx>
          <w:tblCellMar>
            <w:top w:w="0" w:type="dxa"/>
            <w:left w:w="108" w:type="dxa"/>
            <w:bottom w:w="0" w:type="dxa"/>
            <w:right w:w="108" w:type="dxa"/>
          </w:tblCellMar>
        </w:tblPrEx>
        <w:trPr>
          <w:trHeight w:val="720" w:hRule="atLeast"/>
        </w:trPr>
        <w:tc>
          <w:tcPr>
            <w:tcW w:w="904" w:type="pct"/>
            <w:tcBorders>
              <w:top w:val="nil"/>
              <w:left w:val="single" w:color="auto" w:sz="4" w:space="0"/>
              <w:bottom w:val="single" w:color="auto" w:sz="4" w:space="0"/>
              <w:right w:val="single" w:color="auto" w:sz="4" w:space="0"/>
            </w:tcBorders>
            <w:vAlign w:val="center"/>
          </w:tcPr>
          <w:p w14:paraId="75B7DFAE">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现场指挥通信数据</w:t>
            </w:r>
          </w:p>
        </w:tc>
        <w:tc>
          <w:tcPr>
            <w:tcW w:w="1067" w:type="pct"/>
            <w:tcBorders>
              <w:top w:val="nil"/>
              <w:left w:val="nil"/>
              <w:bottom w:val="single" w:color="auto" w:sz="4" w:space="0"/>
              <w:right w:val="single" w:color="auto" w:sz="4" w:space="0"/>
            </w:tcBorders>
            <w:vAlign w:val="center"/>
          </w:tcPr>
          <w:p w14:paraId="75B7DFAF">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火场前线单兵图传视频、应急指挥车视频、集群对讲语音。</w:t>
            </w:r>
          </w:p>
        </w:tc>
        <w:tc>
          <w:tcPr>
            <w:tcW w:w="1357" w:type="pct"/>
            <w:tcBorders>
              <w:top w:val="nil"/>
              <w:left w:val="nil"/>
              <w:bottom w:val="single" w:color="auto" w:sz="4" w:space="0"/>
              <w:right w:val="single" w:color="auto" w:sz="4" w:space="0"/>
            </w:tcBorders>
            <w:vAlign w:val="center"/>
          </w:tcPr>
          <w:p w14:paraId="75B7DFB0">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项目配备的现场应急通信装备（单兵设备、指挥车、便携基站、数字对讲系统）。</w:t>
            </w:r>
          </w:p>
        </w:tc>
        <w:tc>
          <w:tcPr>
            <w:tcW w:w="1672" w:type="pct"/>
            <w:tcBorders>
              <w:top w:val="nil"/>
              <w:left w:val="nil"/>
              <w:bottom w:val="single" w:color="auto" w:sz="4" w:space="0"/>
              <w:right w:val="single" w:color="auto" w:sz="4" w:space="0"/>
            </w:tcBorders>
            <w:vAlign w:val="center"/>
          </w:tcPr>
          <w:p w14:paraId="75B7DFB1">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在应急状态下，临时架设通信网络，将前线音视频数据通过卫星或微波等临时链路回传至指挥中心。</w:t>
            </w:r>
          </w:p>
        </w:tc>
      </w:tr>
      <w:tr w14:paraId="75B7DFB7">
        <w:tblPrEx>
          <w:tblCellMar>
            <w:top w:w="0" w:type="dxa"/>
            <w:left w:w="108" w:type="dxa"/>
            <w:bottom w:w="0" w:type="dxa"/>
            <w:right w:w="108" w:type="dxa"/>
          </w:tblCellMar>
        </w:tblPrEx>
        <w:trPr>
          <w:trHeight w:val="1200" w:hRule="atLeast"/>
        </w:trPr>
        <w:tc>
          <w:tcPr>
            <w:tcW w:w="904" w:type="pct"/>
            <w:tcBorders>
              <w:top w:val="nil"/>
              <w:left w:val="single" w:color="auto" w:sz="4" w:space="0"/>
              <w:bottom w:val="single" w:color="auto" w:sz="4" w:space="0"/>
              <w:right w:val="single" w:color="auto" w:sz="4" w:space="0"/>
            </w:tcBorders>
            <w:vAlign w:val="center"/>
          </w:tcPr>
          <w:p w14:paraId="75B7DFB3">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防火业务管理数据</w:t>
            </w:r>
          </w:p>
        </w:tc>
        <w:tc>
          <w:tcPr>
            <w:tcW w:w="1067" w:type="pct"/>
            <w:tcBorders>
              <w:top w:val="nil"/>
              <w:left w:val="nil"/>
              <w:bottom w:val="single" w:color="auto" w:sz="4" w:space="0"/>
              <w:right w:val="single" w:color="auto" w:sz="4" w:space="0"/>
            </w:tcBorders>
            <w:vAlign w:val="center"/>
          </w:tcPr>
          <w:p w14:paraId="75B7DFB4">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防火队伍信息、物资仓库库存、防火检查记录、计划烧除方案、火情处置报告（含经验总结）、培训演练记录。</w:t>
            </w:r>
          </w:p>
        </w:tc>
        <w:tc>
          <w:tcPr>
            <w:tcW w:w="1357" w:type="pct"/>
            <w:tcBorders>
              <w:top w:val="nil"/>
              <w:left w:val="nil"/>
              <w:bottom w:val="single" w:color="auto" w:sz="4" w:space="0"/>
              <w:right w:val="single" w:color="auto" w:sz="4" w:space="0"/>
            </w:tcBorders>
            <w:vAlign w:val="center"/>
          </w:tcPr>
          <w:p w14:paraId="75B7DFB5">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各级林业防火部门的业务管理人员。</w:t>
            </w:r>
          </w:p>
        </w:tc>
        <w:tc>
          <w:tcPr>
            <w:tcW w:w="1672" w:type="pct"/>
            <w:tcBorders>
              <w:top w:val="nil"/>
              <w:left w:val="nil"/>
              <w:bottom w:val="single" w:color="auto" w:sz="4" w:space="0"/>
              <w:right w:val="single" w:color="auto" w:sz="4" w:space="0"/>
            </w:tcBorders>
            <w:vAlign w:val="center"/>
          </w:tcPr>
          <w:p w14:paraId="75B7DFB6">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通过平台提供的业务管理模块，由专人手工录入、编辑和维护，或上传文档、图片。</w:t>
            </w:r>
          </w:p>
        </w:tc>
      </w:tr>
      <w:tr w14:paraId="75B7DFBC">
        <w:tblPrEx>
          <w:tblCellMar>
            <w:top w:w="0" w:type="dxa"/>
            <w:left w:w="108" w:type="dxa"/>
            <w:bottom w:w="0" w:type="dxa"/>
            <w:right w:w="108" w:type="dxa"/>
          </w:tblCellMar>
        </w:tblPrEx>
        <w:trPr>
          <w:trHeight w:val="960" w:hRule="atLeast"/>
        </w:trPr>
        <w:tc>
          <w:tcPr>
            <w:tcW w:w="904" w:type="pct"/>
            <w:tcBorders>
              <w:top w:val="nil"/>
              <w:left w:val="single" w:color="auto" w:sz="4" w:space="0"/>
              <w:bottom w:val="single" w:color="auto" w:sz="4" w:space="0"/>
              <w:right w:val="single" w:color="auto" w:sz="4" w:space="0"/>
            </w:tcBorders>
            <w:vAlign w:val="center"/>
          </w:tcPr>
          <w:p w14:paraId="75B7DFB8">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火情核实与研判信息</w:t>
            </w:r>
          </w:p>
        </w:tc>
        <w:tc>
          <w:tcPr>
            <w:tcW w:w="1067" w:type="pct"/>
            <w:tcBorders>
              <w:top w:val="nil"/>
              <w:left w:val="nil"/>
              <w:bottom w:val="single" w:color="auto" w:sz="4" w:space="0"/>
              <w:right w:val="single" w:color="auto" w:sz="4" w:space="0"/>
            </w:tcBorders>
            <w:vAlign w:val="center"/>
          </w:tcPr>
          <w:p w14:paraId="75B7DFB9">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告警人工核实结果（真/假）、火情发展人工研判意见、指挥调度指令记录、扑救方案。</w:t>
            </w:r>
          </w:p>
        </w:tc>
        <w:tc>
          <w:tcPr>
            <w:tcW w:w="1357" w:type="pct"/>
            <w:tcBorders>
              <w:top w:val="nil"/>
              <w:left w:val="nil"/>
              <w:bottom w:val="single" w:color="auto" w:sz="4" w:space="0"/>
              <w:right w:val="single" w:color="auto" w:sz="4" w:space="0"/>
            </w:tcBorders>
            <w:vAlign w:val="center"/>
          </w:tcPr>
          <w:p w14:paraId="75B7DFBA">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平台值守人员、防火专家、现场指挥员。</w:t>
            </w:r>
          </w:p>
        </w:tc>
        <w:tc>
          <w:tcPr>
            <w:tcW w:w="1672" w:type="pct"/>
            <w:tcBorders>
              <w:top w:val="nil"/>
              <w:left w:val="nil"/>
              <w:bottom w:val="single" w:color="auto" w:sz="4" w:space="0"/>
              <w:right w:val="single" w:color="auto" w:sz="4" w:space="0"/>
            </w:tcBorders>
            <w:vAlign w:val="center"/>
          </w:tcPr>
          <w:p w14:paraId="75B7DFBB">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在平台告警处置工作流中，由相关人员手动填写表单、选择选项、上传附件、进行标注。</w:t>
            </w:r>
          </w:p>
        </w:tc>
      </w:tr>
      <w:tr w14:paraId="75B7DFC1">
        <w:tblPrEx>
          <w:tblCellMar>
            <w:top w:w="0" w:type="dxa"/>
            <w:left w:w="108" w:type="dxa"/>
            <w:bottom w:w="0" w:type="dxa"/>
            <w:right w:w="108" w:type="dxa"/>
          </w:tblCellMar>
        </w:tblPrEx>
        <w:trPr>
          <w:trHeight w:val="960" w:hRule="atLeast"/>
        </w:trPr>
        <w:tc>
          <w:tcPr>
            <w:tcW w:w="904" w:type="pct"/>
            <w:tcBorders>
              <w:top w:val="nil"/>
              <w:left w:val="single" w:color="auto" w:sz="4" w:space="0"/>
              <w:bottom w:val="single" w:color="auto" w:sz="4" w:space="0"/>
              <w:right w:val="single" w:color="auto" w:sz="4" w:space="0"/>
            </w:tcBorders>
            <w:vAlign w:val="center"/>
          </w:tcPr>
          <w:p w14:paraId="75B7DFBD">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基础空间数据（部分）</w:t>
            </w:r>
          </w:p>
        </w:tc>
        <w:tc>
          <w:tcPr>
            <w:tcW w:w="1067" w:type="pct"/>
            <w:tcBorders>
              <w:top w:val="nil"/>
              <w:left w:val="nil"/>
              <w:bottom w:val="single" w:color="auto" w:sz="4" w:space="0"/>
              <w:right w:val="single" w:color="auto" w:sz="4" w:space="0"/>
            </w:tcBorders>
            <w:vAlign w:val="center"/>
          </w:tcPr>
          <w:p w14:paraId="75B7DFBE">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防火重点区域标注（如坟场、油库、景区）、历史火场迹地范围、手动绘制的指挥标绘图。</w:t>
            </w:r>
          </w:p>
        </w:tc>
        <w:tc>
          <w:tcPr>
            <w:tcW w:w="1357" w:type="pct"/>
            <w:tcBorders>
              <w:top w:val="nil"/>
              <w:left w:val="nil"/>
              <w:bottom w:val="single" w:color="auto" w:sz="4" w:space="0"/>
              <w:right w:val="single" w:color="auto" w:sz="4" w:space="0"/>
            </w:tcBorders>
            <w:vAlign w:val="center"/>
          </w:tcPr>
          <w:p w14:paraId="75B7DFBF">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防火业务专家和GIS操作人员。</w:t>
            </w:r>
          </w:p>
        </w:tc>
        <w:tc>
          <w:tcPr>
            <w:tcW w:w="1672" w:type="pct"/>
            <w:tcBorders>
              <w:top w:val="nil"/>
              <w:left w:val="nil"/>
              <w:bottom w:val="single" w:color="auto" w:sz="4" w:space="0"/>
              <w:right w:val="single" w:color="auto" w:sz="4" w:space="0"/>
            </w:tcBorders>
            <w:vAlign w:val="center"/>
          </w:tcPr>
          <w:p w14:paraId="75B7DFC0">
            <w:pPr>
              <w:widowControl/>
              <w:autoSpaceDE/>
              <w:autoSpaceDN/>
              <w:spacing w:line="240" w:lineRule="auto"/>
              <w:ind w:firstLine="0" w:firstLineChars="0"/>
              <w:rPr>
                <w:rFonts w:hint="eastAsia" w:ascii="仿宋_GB2312" w:hAnsi="等线"/>
                <w:sz w:val="21"/>
                <w:szCs w:val="21"/>
                <w:lang w:val="en-US" w:bidi="ar-SA"/>
              </w:rPr>
            </w:pPr>
            <w:r>
              <w:rPr>
                <w:rFonts w:hint="eastAsia" w:ascii="仿宋_GB2312" w:hAnsi="等线"/>
                <w:sz w:val="21"/>
                <w:szCs w:val="21"/>
                <w:lang w:val="en-US" w:bidi="ar-SA"/>
              </w:rPr>
              <w:t>利用平台GIS工具，进行人工数字化绘制、标注和编辑。</w:t>
            </w:r>
          </w:p>
        </w:tc>
      </w:tr>
    </w:tbl>
    <w:p w14:paraId="75B7DFC2">
      <w:pPr>
        <w:ind w:firstLine="480"/>
        <w:rPr>
          <w:rFonts w:hint="eastAsia"/>
          <w:lang w:val="en-US"/>
        </w:rPr>
      </w:pPr>
    </w:p>
    <w:p w14:paraId="75B7DFC3">
      <w:pPr>
        <w:pStyle w:val="4"/>
        <w:rPr>
          <w:rFonts w:hint="eastAsia"/>
          <w:lang w:val="en-US"/>
        </w:rPr>
      </w:pPr>
      <w:bookmarkStart w:id="150" w:name="_Toc6034"/>
      <w:r>
        <w:rPr>
          <w:rFonts w:hint="eastAsia"/>
        </w:rPr>
        <w:t>项目形成</w:t>
      </w:r>
      <w:r>
        <w:rPr>
          <w:rFonts w:hint="eastAsia"/>
          <w:lang w:val="en-US"/>
        </w:rPr>
        <w:t>共享</w:t>
      </w:r>
      <w:r>
        <w:rPr>
          <w:rFonts w:hint="eastAsia"/>
        </w:rPr>
        <w:t>信息资源</w:t>
      </w:r>
      <w:r>
        <w:rPr>
          <w:rFonts w:hint="eastAsia"/>
          <w:lang w:val="en-US"/>
        </w:rPr>
        <w:t>接口规范</w:t>
      </w:r>
      <w:bookmarkEnd w:id="150"/>
    </w:p>
    <w:p w14:paraId="75B7DFC4">
      <w:pPr>
        <w:pStyle w:val="5"/>
      </w:pPr>
      <w:r>
        <w:rPr>
          <w:rFonts w:hint="eastAsia"/>
        </w:rPr>
        <w:t>接口规范制定的基本原则</w:t>
      </w:r>
    </w:p>
    <w:p w14:paraId="75B7DFC5">
      <w:pPr>
        <w:ind w:firstLine="480"/>
        <w:rPr>
          <w:rFonts w:hint="eastAsia"/>
          <w:lang w:val="en-US"/>
        </w:rPr>
      </w:pPr>
      <w:r>
        <w:rPr>
          <w:rFonts w:hint="eastAsia"/>
          <w:lang w:val="en-US"/>
        </w:rPr>
        <w:t>本项目接口规范的制定，将严格遵循国家级的顶层设计：</w:t>
      </w:r>
    </w:p>
    <w:p w14:paraId="75B7DFC6">
      <w:pPr>
        <w:ind w:firstLine="480"/>
        <w:rPr>
          <w:rFonts w:hint="eastAsia"/>
          <w:lang w:val="en-US"/>
        </w:rPr>
      </w:pPr>
      <w:r>
        <w:rPr>
          <w:rFonts w:hint="eastAsia"/>
          <w:lang w:val="en-US"/>
        </w:rPr>
        <w:t>1.统一技术标准，整体谋划：遵循国家关于“统筹设计规划、统一技术标准，上下各有侧重一体化建设”的总体要求。这意味着本项目的接口规范将与国家和行业标准对齐，而非独立创建一套新标准。</w:t>
      </w:r>
    </w:p>
    <w:p w14:paraId="75B7DFC7">
      <w:pPr>
        <w:ind w:firstLine="480"/>
        <w:rPr>
          <w:rFonts w:hint="eastAsia"/>
          <w:lang w:val="en-US"/>
        </w:rPr>
      </w:pPr>
      <w:r>
        <w:rPr>
          <w:rFonts w:hint="eastAsia"/>
          <w:lang w:val="en-US"/>
        </w:rPr>
        <w:t>2.确保信息互通共享：核心目标是建立“纵横联通、协同联动的工作机制和信息共享制度”，推动与应急、林草、气象等成员单位的数据高效共享。</w:t>
      </w:r>
    </w:p>
    <w:p w14:paraId="75B7DFC8">
      <w:pPr>
        <w:ind w:firstLine="480"/>
        <w:rPr>
          <w:rFonts w:hint="eastAsia"/>
          <w:lang w:val="en-US"/>
        </w:rPr>
      </w:pPr>
      <w:r>
        <w:rPr>
          <w:rFonts w:hint="eastAsia"/>
          <w:lang w:val="en-US"/>
        </w:rPr>
        <w:t>3.服务实战，直达末端：规范的制定将聚焦火情“早发现、早处置”的核心需求，确保预警和监测信息能够快速、准确地服务于各级指挥中心和一线扑救力量。</w:t>
      </w:r>
    </w:p>
    <w:p w14:paraId="75B7DFC9">
      <w:pPr>
        <w:pStyle w:val="5"/>
      </w:pPr>
      <w:r>
        <w:rPr>
          <w:rFonts w:hint="eastAsia"/>
        </w:rPr>
        <w:t>共享信息资源与接口规范</w:t>
      </w:r>
    </w:p>
    <w:p w14:paraId="75B7DFCA">
      <w:pPr>
        <w:ind w:firstLine="480"/>
        <w:rPr>
          <w:rFonts w:hint="eastAsia"/>
          <w:lang w:val="en-US"/>
        </w:rPr>
      </w:pPr>
      <w:r>
        <w:rPr>
          <w:rFonts w:hint="eastAsia"/>
          <w:lang w:val="en-US"/>
        </w:rPr>
        <w:t>根据项目特性及国家“六位一体”立体监测体系的要求，需要制定接口规范的核心共享信息资源及对应标准依据如下：</w:t>
      </w:r>
    </w:p>
    <w:tbl>
      <w:tblPr>
        <w:tblStyle w:val="38"/>
        <w:tblW w:w="5000" w:type="pct"/>
        <w:tblInd w:w="0" w:type="dxa"/>
        <w:tblLayout w:type="autofit"/>
        <w:tblCellMar>
          <w:top w:w="0" w:type="dxa"/>
          <w:left w:w="108" w:type="dxa"/>
          <w:bottom w:w="0" w:type="dxa"/>
          <w:right w:w="108" w:type="dxa"/>
        </w:tblCellMar>
      </w:tblPr>
      <w:tblGrid>
        <w:gridCol w:w="942"/>
        <w:gridCol w:w="2101"/>
        <w:gridCol w:w="3043"/>
        <w:gridCol w:w="2220"/>
      </w:tblGrid>
      <w:tr w14:paraId="75B7DFCF">
        <w:tblPrEx>
          <w:tblCellMar>
            <w:top w:w="0" w:type="dxa"/>
            <w:left w:w="108" w:type="dxa"/>
            <w:bottom w:w="0" w:type="dxa"/>
            <w:right w:w="108" w:type="dxa"/>
          </w:tblCellMar>
        </w:tblPrEx>
        <w:trPr>
          <w:trHeight w:val="528" w:hRule="atLeast"/>
        </w:trPr>
        <w:tc>
          <w:tcPr>
            <w:tcW w:w="567" w:type="pct"/>
            <w:tcBorders>
              <w:top w:val="single" w:color="auto" w:sz="4" w:space="0"/>
              <w:left w:val="single" w:color="auto" w:sz="4" w:space="0"/>
              <w:bottom w:val="single" w:color="auto" w:sz="4" w:space="0"/>
              <w:right w:val="single" w:color="auto" w:sz="4" w:space="0"/>
            </w:tcBorders>
            <w:vAlign w:val="center"/>
          </w:tcPr>
          <w:p w14:paraId="75B7DFCB">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共享信息资源大类</w:t>
            </w:r>
          </w:p>
        </w:tc>
        <w:tc>
          <w:tcPr>
            <w:tcW w:w="1265" w:type="pct"/>
            <w:tcBorders>
              <w:top w:val="single" w:color="auto" w:sz="4" w:space="0"/>
              <w:left w:val="nil"/>
              <w:bottom w:val="single" w:color="auto" w:sz="4" w:space="0"/>
              <w:right w:val="single" w:color="auto" w:sz="4" w:space="0"/>
            </w:tcBorders>
            <w:vAlign w:val="center"/>
          </w:tcPr>
          <w:p w14:paraId="75B7DFCC">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具体数据内容</w:t>
            </w:r>
          </w:p>
        </w:tc>
        <w:tc>
          <w:tcPr>
            <w:tcW w:w="1832" w:type="pct"/>
            <w:tcBorders>
              <w:top w:val="single" w:color="auto" w:sz="4" w:space="0"/>
              <w:left w:val="nil"/>
              <w:bottom w:val="single" w:color="auto" w:sz="4" w:space="0"/>
              <w:right w:val="single" w:color="auto" w:sz="4" w:space="0"/>
            </w:tcBorders>
            <w:vAlign w:val="center"/>
          </w:tcPr>
          <w:p w14:paraId="75B7DFCD">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遵循/参照核心接口标准</w:t>
            </w:r>
          </w:p>
        </w:tc>
        <w:tc>
          <w:tcPr>
            <w:tcW w:w="1336" w:type="pct"/>
            <w:tcBorders>
              <w:top w:val="single" w:color="auto" w:sz="4" w:space="0"/>
              <w:left w:val="nil"/>
              <w:bottom w:val="single" w:color="auto" w:sz="4" w:space="0"/>
              <w:right w:val="single" w:color="auto" w:sz="4" w:space="0"/>
            </w:tcBorders>
            <w:vAlign w:val="center"/>
          </w:tcPr>
          <w:p w14:paraId="75B7DFCE">
            <w:pPr>
              <w:widowControl/>
              <w:autoSpaceDE/>
              <w:autoSpaceDN/>
              <w:spacing w:line="240" w:lineRule="auto"/>
              <w:ind w:firstLine="0" w:firstLineChars="0"/>
              <w:jc w:val="center"/>
              <w:rPr>
                <w:rFonts w:hint="eastAsia" w:ascii="仿宋_GB2312" w:hAnsi="等线"/>
                <w:b/>
                <w:bCs/>
                <w:sz w:val="21"/>
                <w:szCs w:val="21"/>
                <w:lang w:val="en-US" w:bidi="ar-SA"/>
              </w:rPr>
            </w:pPr>
            <w:r>
              <w:rPr>
                <w:rFonts w:hint="eastAsia" w:ascii="仿宋_GB2312" w:hAnsi="等线"/>
                <w:b/>
                <w:bCs/>
                <w:sz w:val="21"/>
                <w:szCs w:val="21"/>
                <w:lang w:val="en-US" w:bidi="ar-SA"/>
              </w:rPr>
              <w:t>制定主体与层级</w:t>
            </w:r>
          </w:p>
        </w:tc>
      </w:tr>
      <w:tr w14:paraId="75B7DFD4">
        <w:tblPrEx>
          <w:tblCellMar>
            <w:top w:w="0" w:type="dxa"/>
            <w:left w:w="108" w:type="dxa"/>
            <w:bottom w:w="0" w:type="dxa"/>
            <w:right w:w="108" w:type="dxa"/>
          </w:tblCellMar>
        </w:tblPrEx>
        <w:trPr>
          <w:trHeight w:val="1656" w:hRule="atLeast"/>
        </w:trPr>
        <w:tc>
          <w:tcPr>
            <w:tcW w:w="567" w:type="pct"/>
            <w:tcBorders>
              <w:top w:val="nil"/>
              <w:left w:val="single" w:color="auto" w:sz="4" w:space="0"/>
              <w:bottom w:val="single" w:color="auto" w:sz="4" w:space="0"/>
              <w:right w:val="single" w:color="auto" w:sz="4" w:space="0"/>
            </w:tcBorders>
            <w:vAlign w:val="center"/>
          </w:tcPr>
          <w:p w14:paraId="75B7DFD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实时视频与预警信息</w:t>
            </w:r>
          </w:p>
        </w:tc>
        <w:tc>
          <w:tcPr>
            <w:tcW w:w="1265" w:type="pct"/>
            <w:tcBorders>
              <w:top w:val="nil"/>
              <w:left w:val="nil"/>
              <w:bottom w:val="single" w:color="auto" w:sz="4" w:space="0"/>
              <w:right w:val="single" w:color="auto" w:sz="4" w:space="0"/>
            </w:tcBorders>
            <w:vAlign w:val="center"/>
          </w:tcPr>
          <w:p w14:paraId="75B7DFD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可见光/热成像视频流、烟火识别报警信号（坐标、时间、图片/视频切片）</w:t>
            </w:r>
          </w:p>
        </w:tc>
        <w:tc>
          <w:tcPr>
            <w:tcW w:w="1832" w:type="pct"/>
            <w:tcBorders>
              <w:top w:val="nil"/>
              <w:left w:val="nil"/>
              <w:bottom w:val="single" w:color="auto" w:sz="4" w:space="0"/>
              <w:right w:val="single" w:color="auto" w:sz="4" w:space="0"/>
            </w:tcBorders>
            <w:vAlign w:val="center"/>
          </w:tcPr>
          <w:p w14:paraId="75B7DFD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《GB/T 28181-2022》（公共安全视频监控联网通用标准），并结合正在制定的《森林草原防火视频监控系统技术规范》（计划号：20240346-T-432）进行业务扩展。</w:t>
            </w:r>
          </w:p>
        </w:tc>
        <w:tc>
          <w:tcPr>
            <w:tcW w:w="1336" w:type="pct"/>
            <w:tcBorders>
              <w:top w:val="nil"/>
              <w:left w:val="nil"/>
              <w:bottom w:val="single" w:color="auto" w:sz="4" w:space="0"/>
              <w:right w:val="single" w:color="auto" w:sz="4" w:space="0"/>
            </w:tcBorders>
            <w:vAlign w:val="center"/>
          </w:tcPr>
          <w:p w14:paraId="75B7DFD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项目核心规范。由项目建设方牵头，依据国标制定适用于本平台与上下级、跨部门系统的视频及报警信息共享接口细则。</w:t>
            </w:r>
          </w:p>
        </w:tc>
      </w:tr>
      <w:tr w14:paraId="75B7DFD9">
        <w:tblPrEx>
          <w:tblCellMar>
            <w:top w:w="0" w:type="dxa"/>
            <w:left w:w="108" w:type="dxa"/>
            <w:bottom w:w="0" w:type="dxa"/>
            <w:right w:w="108" w:type="dxa"/>
          </w:tblCellMar>
        </w:tblPrEx>
        <w:trPr>
          <w:trHeight w:val="1320" w:hRule="atLeast"/>
        </w:trPr>
        <w:tc>
          <w:tcPr>
            <w:tcW w:w="567" w:type="pct"/>
            <w:tcBorders>
              <w:top w:val="nil"/>
              <w:left w:val="single" w:color="auto" w:sz="4" w:space="0"/>
              <w:bottom w:val="single" w:color="auto" w:sz="4" w:space="0"/>
              <w:right w:val="single" w:color="auto" w:sz="4" w:space="0"/>
            </w:tcBorders>
            <w:vAlign w:val="center"/>
          </w:tcPr>
          <w:p w14:paraId="75B7DFD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物联网监测数据</w:t>
            </w:r>
          </w:p>
        </w:tc>
        <w:tc>
          <w:tcPr>
            <w:tcW w:w="1265" w:type="pct"/>
            <w:tcBorders>
              <w:top w:val="nil"/>
              <w:left w:val="nil"/>
              <w:bottom w:val="single" w:color="auto" w:sz="4" w:space="0"/>
              <w:right w:val="single" w:color="auto" w:sz="4" w:space="0"/>
            </w:tcBorders>
            <w:vAlign w:val="center"/>
          </w:tcPr>
          <w:p w14:paraId="75B7DFD6">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前端智能相机、无人机、各类传感器（气象、物候）的状态、监测数据。</w:t>
            </w:r>
          </w:p>
        </w:tc>
        <w:tc>
          <w:tcPr>
            <w:tcW w:w="1832" w:type="pct"/>
            <w:tcBorders>
              <w:top w:val="nil"/>
              <w:left w:val="nil"/>
              <w:bottom w:val="single" w:color="auto" w:sz="4" w:space="0"/>
              <w:right w:val="single" w:color="auto" w:sz="4" w:space="0"/>
            </w:tcBorders>
            <w:vAlign w:val="center"/>
          </w:tcPr>
          <w:p w14:paraId="75B7DFD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《GB/T 46012-2025 林草物联网 体系结构和接口要求》，同时参考《GB/T 35319-2025 物联网系统接口要求》等基础物联网国标。</w:t>
            </w:r>
          </w:p>
        </w:tc>
        <w:tc>
          <w:tcPr>
            <w:tcW w:w="1336" w:type="pct"/>
            <w:tcBorders>
              <w:top w:val="nil"/>
              <w:left w:val="nil"/>
              <w:bottom w:val="single" w:color="auto" w:sz="4" w:space="0"/>
              <w:right w:val="single" w:color="auto" w:sz="4" w:space="0"/>
            </w:tcBorders>
            <w:vAlign w:val="center"/>
          </w:tcPr>
          <w:p w14:paraId="75B7DFD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行业通用规范。直接采用或引用已发布的林草物联网国家标准，确保设备接入的标准化。</w:t>
            </w:r>
          </w:p>
        </w:tc>
      </w:tr>
      <w:tr w14:paraId="75B7DFDE">
        <w:tblPrEx>
          <w:tblCellMar>
            <w:top w:w="0" w:type="dxa"/>
            <w:left w:w="108" w:type="dxa"/>
            <w:bottom w:w="0" w:type="dxa"/>
            <w:right w:w="108" w:type="dxa"/>
          </w:tblCellMar>
        </w:tblPrEx>
        <w:trPr>
          <w:trHeight w:val="1656" w:hRule="atLeast"/>
        </w:trPr>
        <w:tc>
          <w:tcPr>
            <w:tcW w:w="567" w:type="pct"/>
            <w:tcBorders>
              <w:top w:val="nil"/>
              <w:left w:val="single" w:color="auto" w:sz="4" w:space="0"/>
              <w:bottom w:val="single" w:color="auto" w:sz="4" w:space="0"/>
              <w:right w:val="single" w:color="auto" w:sz="4" w:space="0"/>
            </w:tcBorders>
            <w:vAlign w:val="center"/>
          </w:tcPr>
          <w:p w14:paraId="75B7DFDA">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火险预警与应急指挥数据</w:t>
            </w:r>
          </w:p>
        </w:tc>
        <w:tc>
          <w:tcPr>
            <w:tcW w:w="1265" w:type="pct"/>
            <w:tcBorders>
              <w:top w:val="nil"/>
              <w:left w:val="nil"/>
              <w:bottom w:val="single" w:color="auto" w:sz="4" w:space="0"/>
              <w:right w:val="single" w:color="auto" w:sz="4" w:space="0"/>
            </w:tcBorders>
            <w:vAlign w:val="center"/>
          </w:tcPr>
          <w:p w14:paraId="75B7DFD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火险等级预报、卫星热点核查信息、应急资源部署、指挥调度指令。</w:t>
            </w:r>
          </w:p>
        </w:tc>
        <w:tc>
          <w:tcPr>
            <w:tcW w:w="1832" w:type="pct"/>
            <w:tcBorders>
              <w:top w:val="nil"/>
              <w:left w:val="nil"/>
              <w:bottom w:val="single" w:color="auto" w:sz="4" w:space="0"/>
              <w:right w:val="single" w:color="auto" w:sz="4" w:space="0"/>
            </w:tcBorders>
            <w:vAlign w:val="center"/>
          </w:tcPr>
          <w:p w14:paraId="75B7DFD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遵循 国家森林草原防灭火信息共享平台 制定的相关数据交换标准。同时，定位相关数据可参考如《DB13/T 6144-2025 北斗位置基准服务平台数据接口规范》等地方标准。</w:t>
            </w:r>
          </w:p>
        </w:tc>
        <w:tc>
          <w:tcPr>
            <w:tcW w:w="1336" w:type="pct"/>
            <w:tcBorders>
              <w:top w:val="nil"/>
              <w:left w:val="nil"/>
              <w:bottom w:val="single" w:color="auto" w:sz="4" w:space="0"/>
              <w:right w:val="single" w:color="auto" w:sz="4" w:space="0"/>
            </w:tcBorders>
            <w:vAlign w:val="center"/>
          </w:tcPr>
          <w:p w14:paraId="75B7DFD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上级平台对接规范。严格遵循国家和省级森防指统一制定的数据汇聚与共享规范，实现纵向贯通。</w:t>
            </w:r>
          </w:p>
        </w:tc>
      </w:tr>
      <w:tr w14:paraId="75B7DFE3">
        <w:tblPrEx>
          <w:tblCellMar>
            <w:top w:w="0" w:type="dxa"/>
            <w:left w:w="108" w:type="dxa"/>
            <w:bottom w:w="0" w:type="dxa"/>
            <w:right w:w="108" w:type="dxa"/>
          </w:tblCellMar>
        </w:tblPrEx>
        <w:trPr>
          <w:trHeight w:val="1320" w:hRule="atLeast"/>
        </w:trPr>
        <w:tc>
          <w:tcPr>
            <w:tcW w:w="567" w:type="pct"/>
            <w:tcBorders>
              <w:top w:val="nil"/>
              <w:left w:val="single" w:color="auto" w:sz="4" w:space="0"/>
              <w:bottom w:val="single" w:color="auto" w:sz="4" w:space="0"/>
              <w:right w:val="single" w:color="auto" w:sz="4" w:space="0"/>
            </w:tcBorders>
            <w:vAlign w:val="center"/>
          </w:tcPr>
          <w:p w14:paraId="75B7DFD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基础地理与资源数据</w:t>
            </w:r>
          </w:p>
        </w:tc>
        <w:tc>
          <w:tcPr>
            <w:tcW w:w="1265" w:type="pct"/>
            <w:tcBorders>
              <w:top w:val="nil"/>
              <w:left w:val="nil"/>
              <w:bottom w:val="single" w:color="auto" w:sz="4" w:space="0"/>
              <w:right w:val="single" w:color="auto" w:sz="4" w:space="0"/>
            </w:tcBorders>
            <w:vAlign w:val="center"/>
          </w:tcPr>
          <w:p w14:paraId="75B7DFE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行政区划、森林资源分布图、防火设施点位、救援力量分布。</w:t>
            </w:r>
          </w:p>
        </w:tc>
        <w:tc>
          <w:tcPr>
            <w:tcW w:w="1832" w:type="pct"/>
            <w:tcBorders>
              <w:top w:val="nil"/>
              <w:left w:val="nil"/>
              <w:bottom w:val="single" w:color="auto" w:sz="4" w:space="0"/>
              <w:right w:val="single" w:color="auto" w:sz="4" w:space="0"/>
            </w:tcBorders>
            <w:vAlign w:val="center"/>
          </w:tcPr>
          <w:p w14:paraId="75B7DFE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参照自然资源、林草领域通用的地理信息共享服务标准（如OGC WMS、WFS等），制定专项数据服务接口。</w:t>
            </w:r>
          </w:p>
        </w:tc>
        <w:tc>
          <w:tcPr>
            <w:tcW w:w="1336" w:type="pct"/>
            <w:tcBorders>
              <w:top w:val="nil"/>
              <w:left w:val="nil"/>
              <w:bottom w:val="single" w:color="auto" w:sz="4" w:space="0"/>
              <w:right w:val="single" w:color="auto" w:sz="4" w:space="0"/>
            </w:tcBorders>
            <w:vAlign w:val="center"/>
          </w:tcPr>
          <w:p w14:paraId="75B7DFE2">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部门协同规范。与林业、自然资源等部门协商，基于其已有数据服务标准制定便捷的调阅接口。</w:t>
            </w:r>
          </w:p>
        </w:tc>
      </w:tr>
    </w:tbl>
    <w:p w14:paraId="75B7DFE4">
      <w:pPr>
        <w:ind w:firstLine="480"/>
        <w:rPr>
          <w:rFonts w:hint="eastAsia"/>
          <w:lang w:val="en-US"/>
        </w:rPr>
      </w:pPr>
    </w:p>
    <w:p w14:paraId="75B7DFE5">
      <w:pPr>
        <w:pStyle w:val="4"/>
        <w:rPr>
          <w:rFonts w:hint="eastAsia"/>
        </w:rPr>
      </w:pPr>
      <w:bookmarkStart w:id="151" w:name="_Toc28769"/>
      <w:r>
        <w:rPr>
          <w:rFonts w:hint="eastAsia"/>
          <w:lang w:val="en-US"/>
        </w:rPr>
        <w:t>不</w:t>
      </w:r>
      <w:r>
        <w:rPr>
          <w:rFonts w:hint="eastAsia"/>
        </w:rPr>
        <w:t>共享信息资源及其依据</w:t>
      </w:r>
      <w:bookmarkEnd w:id="151"/>
    </w:p>
    <w:p w14:paraId="75B7DFE6">
      <w:pPr>
        <w:ind w:firstLine="480"/>
        <w:rPr>
          <w:rFonts w:hint="eastAsia"/>
        </w:rPr>
      </w:pPr>
      <w:r>
        <w:rPr>
          <w:rFonts w:hint="eastAsia"/>
        </w:rPr>
        <w:t>不共享的信息资源及不共享依据如下：</w:t>
      </w:r>
    </w:p>
    <w:tbl>
      <w:tblPr>
        <w:tblStyle w:val="38"/>
        <w:tblW w:w="8780" w:type="dxa"/>
        <w:tblInd w:w="118" w:type="dxa"/>
        <w:tblLayout w:type="autofit"/>
        <w:tblCellMar>
          <w:top w:w="0" w:type="dxa"/>
          <w:left w:w="108" w:type="dxa"/>
          <w:bottom w:w="0" w:type="dxa"/>
          <w:right w:w="108" w:type="dxa"/>
        </w:tblCellMar>
      </w:tblPr>
      <w:tblGrid>
        <w:gridCol w:w="600"/>
        <w:gridCol w:w="3160"/>
        <w:gridCol w:w="5020"/>
      </w:tblGrid>
      <w:tr w14:paraId="75B7DFEA">
        <w:tblPrEx>
          <w:tblCellMar>
            <w:top w:w="0" w:type="dxa"/>
            <w:left w:w="108" w:type="dxa"/>
            <w:bottom w:w="0" w:type="dxa"/>
            <w:right w:w="108" w:type="dxa"/>
          </w:tblCellMar>
        </w:tblPrEx>
        <w:trPr>
          <w:trHeight w:val="300" w:hRule="atLeast"/>
          <w:tblHeader/>
        </w:trPr>
        <w:tc>
          <w:tcPr>
            <w:tcW w:w="600" w:type="dxa"/>
            <w:tcBorders>
              <w:top w:val="single" w:color="auto" w:sz="8" w:space="0"/>
              <w:left w:val="single" w:color="auto" w:sz="8" w:space="0"/>
              <w:bottom w:val="single" w:color="auto" w:sz="8" w:space="0"/>
              <w:right w:val="single" w:color="auto" w:sz="8" w:space="0"/>
            </w:tcBorders>
            <w:vAlign w:val="center"/>
          </w:tcPr>
          <w:p w14:paraId="75B7DFE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序号</w:t>
            </w:r>
          </w:p>
        </w:tc>
        <w:tc>
          <w:tcPr>
            <w:tcW w:w="3160" w:type="dxa"/>
            <w:tcBorders>
              <w:top w:val="single" w:color="auto" w:sz="8" w:space="0"/>
              <w:left w:val="nil"/>
              <w:bottom w:val="single" w:color="auto" w:sz="8" w:space="0"/>
              <w:right w:val="single" w:color="auto" w:sz="8" w:space="0"/>
            </w:tcBorders>
            <w:vAlign w:val="center"/>
          </w:tcPr>
          <w:p w14:paraId="75B7DFE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数据主题名称</w:t>
            </w:r>
          </w:p>
        </w:tc>
        <w:tc>
          <w:tcPr>
            <w:tcW w:w="5020" w:type="dxa"/>
            <w:tcBorders>
              <w:top w:val="single" w:color="auto" w:sz="8" w:space="0"/>
              <w:left w:val="nil"/>
              <w:bottom w:val="single" w:color="auto" w:sz="8" w:space="0"/>
              <w:right w:val="single" w:color="auto" w:sz="8" w:space="0"/>
            </w:tcBorders>
            <w:vAlign w:val="center"/>
          </w:tcPr>
          <w:p w14:paraId="75B7DFE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不共享的依据和相关法规</w:t>
            </w:r>
          </w:p>
        </w:tc>
      </w:tr>
      <w:tr w14:paraId="75B7DFEE">
        <w:tblPrEx>
          <w:tblCellMar>
            <w:top w:w="0" w:type="dxa"/>
            <w:left w:w="108" w:type="dxa"/>
            <w:bottom w:w="0" w:type="dxa"/>
            <w:right w:w="108" w:type="dxa"/>
          </w:tblCellMar>
        </w:tblPrEx>
        <w:trPr>
          <w:trHeight w:val="1164" w:hRule="atLeast"/>
        </w:trPr>
        <w:tc>
          <w:tcPr>
            <w:tcW w:w="600" w:type="dxa"/>
            <w:tcBorders>
              <w:top w:val="nil"/>
              <w:left w:val="single" w:color="auto" w:sz="8" w:space="0"/>
              <w:bottom w:val="single" w:color="auto" w:sz="8" w:space="0"/>
              <w:right w:val="single" w:color="auto" w:sz="8" w:space="0"/>
            </w:tcBorders>
            <w:vAlign w:val="center"/>
          </w:tcPr>
          <w:p w14:paraId="75B7DFE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1</w:t>
            </w:r>
          </w:p>
        </w:tc>
        <w:tc>
          <w:tcPr>
            <w:tcW w:w="3160" w:type="dxa"/>
            <w:tcBorders>
              <w:top w:val="nil"/>
              <w:left w:val="nil"/>
              <w:bottom w:val="single" w:color="auto" w:sz="8" w:space="0"/>
              <w:right w:val="single" w:color="auto" w:sz="8" w:space="0"/>
            </w:tcBorders>
            <w:vAlign w:val="center"/>
          </w:tcPr>
          <w:p w14:paraId="75B7DFE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核心地理空间与设施敏感信息</w:t>
            </w:r>
          </w:p>
        </w:tc>
        <w:tc>
          <w:tcPr>
            <w:tcW w:w="5020" w:type="dxa"/>
            <w:tcBorders>
              <w:top w:val="nil"/>
              <w:left w:val="nil"/>
              <w:bottom w:val="single" w:color="auto" w:sz="8" w:space="0"/>
              <w:right w:val="single" w:color="auto" w:sz="8" w:space="0"/>
            </w:tcBorders>
            <w:vAlign w:val="center"/>
          </w:tcPr>
          <w:p w14:paraId="75B7DFE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此类信息属于国家秘密或敏感基础设施信息。泄露可能导致敌对势力或纵火分子掌握我国森林防灭火的薄弱环节和关键节点，进行破坏或规避，严重危害国家安全和公共安全。</w:t>
            </w:r>
          </w:p>
        </w:tc>
      </w:tr>
      <w:tr w14:paraId="75B7DFF2">
        <w:tblPrEx>
          <w:tblCellMar>
            <w:top w:w="0" w:type="dxa"/>
            <w:left w:w="108" w:type="dxa"/>
            <w:bottom w:w="0" w:type="dxa"/>
            <w:right w:w="108" w:type="dxa"/>
          </w:tblCellMar>
        </w:tblPrEx>
        <w:trPr>
          <w:trHeight w:val="1164" w:hRule="atLeast"/>
        </w:trPr>
        <w:tc>
          <w:tcPr>
            <w:tcW w:w="600" w:type="dxa"/>
            <w:tcBorders>
              <w:top w:val="nil"/>
              <w:left w:val="single" w:color="auto" w:sz="8" w:space="0"/>
              <w:bottom w:val="single" w:color="auto" w:sz="8" w:space="0"/>
              <w:right w:val="single" w:color="auto" w:sz="8" w:space="0"/>
            </w:tcBorders>
            <w:vAlign w:val="center"/>
          </w:tcPr>
          <w:p w14:paraId="75B7DFE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2</w:t>
            </w:r>
          </w:p>
        </w:tc>
        <w:tc>
          <w:tcPr>
            <w:tcW w:w="3160" w:type="dxa"/>
            <w:tcBorders>
              <w:top w:val="nil"/>
              <w:left w:val="nil"/>
              <w:bottom w:val="single" w:color="auto" w:sz="8" w:space="0"/>
              <w:right w:val="single" w:color="auto" w:sz="8" w:space="0"/>
            </w:tcBorders>
            <w:vAlign w:val="center"/>
          </w:tcPr>
          <w:p w14:paraId="75B7DFF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核心技术与算法参数</w:t>
            </w:r>
          </w:p>
        </w:tc>
        <w:tc>
          <w:tcPr>
            <w:tcW w:w="5020" w:type="dxa"/>
            <w:tcBorders>
              <w:top w:val="nil"/>
              <w:left w:val="nil"/>
              <w:bottom w:val="single" w:color="auto" w:sz="8" w:space="0"/>
              <w:right w:val="single" w:color="auto" w:sz="8" w:space="0"/>
            </w:tcBorders>
            <w:vAlign w:val="center"/>
          </w:tcPr>
          <w:p w14:paraId="75B7DFF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此类信息属于商业秘密或国家科学技术秘密。是企业或研究机构的核心竞争力，也是保障平台自身安全、防止被攻击或仿制的重要屏障。强制共享会打击创新积极性，并可能带来安全风险。</w:t>
            </w:r>
          </w:p>
        </w:tc>
      </w:tr>
      <w:tr w14:paraId="75B7DFF6">
        <w:tblPrEx>
          <w:tblCellMar>
            <w:top w:w="0" w:type="dxa"/>
            <w:left w:w="108" w:type="dxa"/>
            <w:bottom w:w="0" w:type="dxa"/>
            <w:right w:w="108" w:type="dxa"/>
          </w:tblCellMar>
        </w:tblPrEx>
        <w:trPr>
          <w:trHeight w:val="1164" w:hRule="atLeast"/>
        </w:trPr>
        <w:tc>
          <w:tcPr>
            <w:tcW w:w="600" w:type="dxa"/>
            <w:tcBorders>
              <w:top w:val="nil"/>
              <w:left w:val="single" w:color="auto" w:sz="8" w:space="0"/>
              <w:bottom w:val="single" w:color="auto" w:sz="8" w:space="0"/>
              <w:right w:val="single" w:color="auto" w:sz="8" w:space="0"/>
            </w:tcBorders>
            <w:vAlign w:val="center"/>
          </w:tcPr>
          <w:p w14:paraId="75B7DFF3">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3</w:t>
            </w:r>
          </w:p>
        </w:tc>
        <w:tc>
          <w:tcPr>
            <w:tcW w:w="3160" w:type="dxa"/>
            <w:tcBorders>
              <w:top w:val="nil"/>
              <w:left w:val="nil"/>
              <w:bottom w:val="single" w:color="auto" w:sz="8" w:space="0"/>
              <w:right w:val="single" w:color="auto" w:sz="8" w:space="0"/>
            </w:tcBorders>
            <w:vAlign w:val="center"/>
          </w:tcPr>
          <w:p w14:paraId="75B7DFF4">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涉及个人隐私与个人信息</w:t>
            </w:r>
          </w:p>
        </w:tc>
        <w:tc>
          <w:tcPr>
            <w:tcW w:w="5020" w:type="dxa"/>
            <w:tcBorders>
              <w:top w:val="nil"/>
              <w:left w:val="nil"/>
              <w:bottom w:val="single" w:color="auto" w:sz="8" w:space="0"/>
              <w:right w:val="single" w:color="auto" w:sz="8" w:space="0"/>
            </w:tcBorders>
            <w:vAlign w:val="center"/>
          </w:tcPr>
          <w:p w14:paraId="75B7DFF5">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此类信息受《中华人民共和国个人信息保护法》 保护。除非为应对突发事件、履行法定职责且遵循最小必要原则，否则不得随意共享、公开。随意共享会构成对公民个人隐私权的侵犯。</w:t>
            </w:r>
          </w:p>
        </w:tc>
      </w:tr>
      <w:tr w14:paraId="75B7DFFA">
        <w:tblPrEx>
          <w:tblCellMar>
            <w:top w:w="0" w:type="dxa"/>
            <w:left w:w="108" w:type="dxa"/>
            <w:bottom w:w="0" w:type="dxa"/>
            <w:right w:w="108" w:type="dxa"/>
          </w:tblCellMar>
        </w:tblPrEx>
        <w:trPr>
          <w:trHeight w:val="876" w:hRule="atLeast"/>
        </w:trPr>
        <w:tc>
          <w:tcPr>
            <w:tcW w:w="600" w:type="dxa"/>
            <w:tcBorders>
              <w:top w:val="nil"/>
              <w:left w:val="single" w:color="auto" w:sz="8" w:space="0"/>
              <w:bottom w:val="single" w:color="auto" w:sz="8" w:space="0"/>
              <w:right w:val="single" w:color="auto" w:sz="8" w:space="0"/>
            </w:tcBorders>
            <w:vAlign w:val="center"/>
          </w:tcPr>
          <w:p w14:paraId="75B7DFF7">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4</w:t>
            </w:r>
          </w:p>
        </w:tc>
        <w:tc>
          <w:tcPr>
            <w:tcW w:w="3160" w:type="dxa"/>
            <w:tcBorders>
              <w:top w:val="nil"/>
              <w:left w:val="nil"/>
              <w:bottom w:val="single" w:color="auto" w:sz="8" w:space="0"/>
              <w:right w:val="single" w:color="auto" w:sz="8" w:space="0"/>
            </w:tcBorders>
            <w:vAlign w:val="center"/>
          </w:tcPr>
          <w:p w14:paraId="75B7DFF8">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处于调查或处理过程中的案件信息</w:t>
            </w:r>
          </w:p>
        </w:tc>
        <w:tc>
          <w:tcPr>
            <w:tcW w:w="5020" w:type="dxa"/>
            <w:tcBorders>
              <w:top w:val="nil"/>
              <w:left w:val="nil"/>
              <w:bottom w:val="single" w:color="auto" w:sz="8" w:space="0"/>
              <w:right w:val="single" w:color="auto" w:sz="8" w:space="0"/>
            </w:tcBorders>
            <w:vAlign w:val="center"/>
          </w:tcPr>
          <w:p w14:paraId="75B7DFF9">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此类信息属于执法工作秘密。提前泄露可能干扰案件调查、妨碍司法公正，或引起社会不必要的猜测和恐慌。</w:t>
            </w:r>
          </w:p>
        </w:tc>
      </w:tr>
      <w:tr w14:paraId="75B7DFFE">
        <w:tblPrEx>
          <w:tblCellMar>
            <w:top w:w="0" w:type="dxa"/>
            <w:left w:w="108" w:type="dxa"/>
            <w:bottom w:w="0" w:type="dxa"/>
            <w:right w:w="108" w:type="dxa"/>
          </w:tblCellMar>
        </w:tblPrEx>
        <w:trPr>
          <w:trHeight w:val="1164" w:hRule="atLeast"/>
        </w:trPr>
        <w:tc>
          <w:tcPr>
            <w:tcW w:w="600" w:type="dxa"/>
            <w:tcBorders>
              <w:top w:val="nil"/>
              <w:left w:val="single" w:color="auto" w:sz="8" w:space="0"/>
              <w:bottom w:val="single" w:color="auto" w:sz="8" w:space="0"/>
              <w:right w:val="single" w:color="auto" w:sz="8" w:space="0"/>
            </w:tcBorders>
            <w:vAlign w:val="center"/>
          </w:tcPr>
          <w:p w14:paraId="75B7DFFB">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5</w:t>
            </w:r>
          </w:p>
        </w:tc>
        <w:tc>
          <w:tcPr>
            <w:tcW w:w="3160" w:type="dxa"/>
            <w:tcBorders>
              <w:top w:val="nil"/>
              <w:left w:val="nil"/>
              <w:bottom w:val="single" w:color="auto" w:sz="8" w:space="0"/>
              <w:right w:val="single" w:color="auto" w:sz="8" w:space="0"/>
            </w:tcBorders>
            <w:vAlign w:val="center"/>
          </w:tcPr>
          <w:p w14:paraId="75B7DFFC">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影响社会稳定或引发误判的预警与舆情信息</w:t>
            </w:r>
          </w:p>
        </w:tc>
        <w:tc>
          <w:tcPr>
            <w:tcW w:w="5020" w:type="dxa"/>
            <w:tcBorders>
              <w:top w:val="nil"/>
              <w:left w:val="nil"/>
              <w:bottom w:val="single" w:color="auto" w:sz="8" w:space="0"/>
              <w:right w:val="single" w:color="auto" w:sz="8" w:space="0"/>
            </w:tcBorders>
            <w:vAlign w:val="center"/>
          </w:tcPr>
          <w:p w14:paraId="75B7DFFD">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此类信息的不共享是为了维护社会稳定和公共秩序。依据突发事件应对和信息公开的相关法规，信息发布需做到 “及时、准确、统一” ，未经授权和核实的内部信息不得随意扩散。</w:t>
            </w:r>
          </w:p>
        </w:tc>
      </w:tr>
      <w:tr w14:paraId="75B7E002">
        <w:tblPrEx>
          <w:tblCellMar>
            <w:top w:w="0" w:type="dxa"/>
            <w:left w:w="108" w:type="dxa"/>
            <w:bottom w:w="0" w:type="dxa"/>
            <w:right w:w="108" w:type="dxa"/>
          </w:tblCellMar>
        </w:tblPrEx>
        <w:trPr>
          <w:trHeight w:val="876" w:hRule="atLeast"/>
        </w:trPr>
        <w:tc>
          <w:tcPr>
            <w:tcW w:w="600" w:type="dxa"/>
            <w:tcBorders>
              <w:top w:val="nil"/>
              <w:left w:val="single" w:color="auto" w:sz="8" w:space="0"/>
              <w:bottom w:val="single" w:color="auto" w:sz="8" w:space="0"/>
              <w:right w:val="single" w:color="auto" w:sz="8" w:space="0"/>
            </w:tcBorders>
            <w:vAlign w:val="center"/>
          </w:tcPr>
          <w:p w14:paraId="75B7DFFF">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6</w:t>
            </w:r>
          </w:p>
        </w:tc>
        <w:tc>
          <w:tcPr>
            <w:tcW w:w="3160" w:type="dxa"/>
            <w:tcBorders>
              <w:top w:val="nil"/>
              <w:left w:val="nil"/>
              <w:bottom w:val="single" w:color="auto" w:sz="8" w:space="0"/>
              <w:right w:val="single" w:color="auto" w:sz="8" w:space="0"/>
            </w:tcBorders>
            <w:vAlign w:val="center"/>
          </w:tcPr>
          <w:p w14:paraId="75B7E000">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其他法律、行政法规禁止共享的信息</w:t>
            </w:r>
          </w:p>
        </w:tc>
        <w:tc>
          <w:tcPr>
            <w:tcW w:w="5020" w:type="dxa"/>
            <w:tcBorders>
              <w:top w:val="nil"/>
              <w:left w:val="nil"/>
              <w:bottom w:val="single" w:color="auto" w:sz="8" w:space="0"/>
              <w:right w:val="single" w:color="auto" w:sz="8" w:space="0"/>
            </w:tcBorders>
            <w:vAlign w:val="center"/>
          </w:tcPr>
          <w:p w14:paraId="75B7E001">
            <w:pPr>
              <w:widowControl/>
              <w:autoSpaceDE/>
              <w:autoSpaceDN/>
              <w:spacing w:line="240" w:lineRule="auto"/>
              <w:ind w:firstLine="0" w:firstLineChars="0"/>
              <w:jc w:val="center"/>
              <w:rPr>
                <w:rFonts w:hint="eastAsia" w:ascii="仿宋_GB2312" w:hAnsi="等线"/>
                <w:sz w:val="21"/>
                <w:szCs w:val="21"/>
                <w:lang w:val="en-US" w:bidi="ar-SA"/>
              </w:rPr>
            </w:pPr>
            <w:r>
              <w:rPr>
                <w:rFonts w:hint="eastAsia" w:ascii="仿宋_GB2312" w:hAnsi="等线"/>
                <w:sz w:val="21"/>
                <w:szCs w:val="21"/>
                <w:lang w:val="en-US" w:bidi="ar-SA"/>
              </w:rPr>
              <w:t>任何其他依据《中华人民共和国保守国家秘密法》《中华人民共和国反恐怖主义法》《中华人民共和国数据安全法》等法律法规被明确列为禁止或限制共享的信息。</w:t>
            </w:r>
          </w:p>
        </w:tc>
      </w:tr>
    </w:tbl>
    <w:p w14:paraId="75B7E003">
      <w:pPr>
        <w:ind w:firstLine="480"/>
        <w:rPr>
          <w:rFonts w:hint="eastAsia"/>
        </w:rPr>
      </w:pPr>
    </w:p>
    <w:p w14:paraId="75B7E004">
      <w:pPr>
        <w:pStyle w:val="3"/>
      </w:pPr>
      <w:bookmarkStart w:id="152" w:name="_Toc14298"/>
      <w:bookmarkStart w:id="153" w:name="_Toc23126"/>
      <w:bookmarkStart w:id="154" w:name="_Toc18393"/>
      <w:bookmarkStart w:id="155" w:name="_Toc11332"/>
      <w:bookmarkStart w:id="156" w:name="_Toc8919"/>
      <w:bookmarkStart w:id="157" w:name="_Toc13878"/>
      <w:bookmarkStart w:id="158" w:name="_Toc16941"/>
      <w:bookmarkStart w:id="159" w:name="_Toc27724"/>
      <w:bookmarkStart w:id="160" w:name="_Toc19487"/>
      <w:bookmarkStart w:id="161" w:name="_Toc4503"/>
      <w:bookmarkStart w:id="162" w:name="_Toc8755"/>
      <w:r>
        <w:rPr>
          <w:rFonts w:hint="eastAsia"/>
        </w:rPr>
        <w:t>网络安全体系建设方案</w:t>
      </w:r>
      <w:bookmarkEnd w:id="152"/>
      <w:bookmarkEnd w:id="153"/>
      <w:bookmarkEnd w:id="154"/>
      <w:bookmarkEnd w:id="155"/>
      <w:bookmarkEnd w:id="156"/>
      <w:bookmarkEnd w:id="157"/>
      <w:bookmarkEnd w:id="158"/>
      <w:bookmarkEnd w:id="159"/>
      <w:bookmarkEnd w:id="160"/>
      <w:bookmarkEnd w:id="161"/>
      <w:bookmarkEnd w:id="162"/>
    </w:p>
    <w:p w14:paraId="75B7E005">
      <w:pPr>
        <w:ind w:firstLine="480"/>
        <w:rPr>
          <w:rFonts w:hint="eastAsia"/>
        </w:rPr>
      </w:pPr>
      <w:r>
        <w:rPr>
          <w:rFonts w:hint="eastAsia"/>
        </w:rPr>
        <w:t>作为岳阳市森林火灾高风险区综合治理能力提升的核心支撑，严格遵循《岳阳市网络安全前置审查制度 - 20251029》（以下简称《审查制度》）要求，依托</w:t>
      </w:r>
      <w:r>
        <w:rPr>
          <w:rFonts w:hint="eastAsia"/>
          <w:lang w:val="en-US"/>
        </w:rPr>
        <w:t>软件提供商云</w:t>
      </w:r>
      <w:r>
        <w:rPr>
          <w:rFonts w:hint="eastAsia"/>
        </w:rPr>
        <w:t>平台部署运行，通过运营商数据专线接入</w:t>
      </w:r>
      <w:r>
        <w:rPr>
          <w:rFonts w:hint="eastAsia"/>
          <w:lang w:val="en-US"/>
        </w:rPr>
        <w:t>软件提供商云</w:t>
      </w:r>
      <w:r>
        <w:rPr>
          <w:rFonts w:hint="eastAsia"/>
        </w:rPr>
        <w:t xml:space="preserve">平台，构建覆盖 “物理与环境安全 - 网络与通信安全 - 设备与计算安全 - 应用与数据安全 - 安全管理” 的全层级安全防护体系，满足网络安全等级保护三级及商用密码应用合规要求，为森林防火综合调度全流程提供安全保障。 </w:t>
      </w:r>
    </w:p>
    <w:p w14:paraId="75B7E006">
      <w:pPr>
        <w:pStyle w:val="4"/>
        <w:rPr>
          <w:rFonts w:hint="eastAsia"/>
        </w:rPr>
      </w:pPr>
      <w:bookmarkStart w:id="163" w:name="_Toc7147"/>
      <w:bookmarkStart w:id="164" w:name="_Toc73026299"/>
      <w:r>
        <w:rPr>
          <w:rFonts w:hint="eastAsia"/>
        </w:rPr>
        <w:t>网络安全运营支撑</w:t>
      </w:r>
      <w:bookmarkEnd w:id="163"/>
      <w:bookmarkEnd w:id="164"/>
    </w:p>
    <w:p w14:paraId="75B7E007">
      <w:pPr>
        <w:pStyle w:val="5"/>
        <w:rPr>
          <w:lang w:val="en-US"/>
        </w:rPr>
      </w:pPr>
      <w:r>
        <w:rPr>
          <w:rFonts w:hint="eastAsia"/>
          <w:lang w:val="en-US"/>
        </w:rPr>
        <w:t>支撑工具</w:t>
      </w:r>
    </w:p>
    <w:p w14:paraId="75B7E008">
      <w:pPr>
        <w:ind w:firstLine="480"/>
        <w:rPr>
          <w:rFonts w:hint="eastAsia"/>
        </w:rPr>
      </w:pPr>
      <w:r>
        <w:rPr>
          <w:rFonts w:hint="eastAsia"/>
        </w:rPr>
        <w:t>网络安全运营支撑工具主要包含网站云防护、网站云监测、流量探针、云安全、下一代防火墙、入侵防御系统、终端安全管理系统、终端准入系统等工具，工具部署如下图所示：</w:t>
      </w:r>
    </w:p>
    <w:p w14:paraId="75B7E009">
      <w:pPr>
        <w:spacing w:line="360" w:lineRule="auto"/>
        <w:ind w:firstLine="0" w:firstLineChars="0"/>
        <w:rPr>
          <w:rFonts w:hint="eastAsia" w:ascii="仿宋" w:hAnsi="仿宋" w:eastAsia="仿宋" w:cs="仿宋"/>
        </w:rPr>
      </w:pPr>
      <w:r>
        <w:rPr>
          <w:rFonts w:hint="eastAsia" w:ascii="仿宋" w:hAnsi="仿宋" w:eastAsia="仿宋" w:cs="仿宋"/>
        </w:rPr>
        <w:drawing>
          <wp:inline distT="0" distB="0" distL="0" distR="0">
            <wp:extent cx="5270500" cy="2491740"/>
            <wp:effectExtent l="0" t="0" r="2540" b="7620"/>
            <wp:docPr id="1566941273" name="图片 1566941273" descr="E:\【4】项目管理\【1】党政\岳阳市网络安全运营中心建设方案\解决方案\内部方案\方案最终稿审核V1.4\政务外网拓扑图-360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941273" name="图片 1566941273" descr="E:\【4】项目管理\【1】党政\岳阳市网络安全运营中心建设方案\解决方案\内部方案\方案最终稿审核V1.4\政务外网拓扑图-360_2.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5270500" cy="2492165"/>
                    </a:xfrm>
                    <a:prstGeom prst="rect">
                      <a:avLst/>
                    </a:prstGeom>
                    <a:noFill/>
                    <a:ln>
                      <a:noFill/>
                    </a:ln>
                  </pic:spPr>
                </pic:pic>
              </a:graphicData>
            </a:graphic>
          </wp:inline>
        </w:drawing>
      </w:r>
    </w:p>
    <w:p w14:paraId="75B7E00A">
      <w:pPr>
        <w:pStyle w:val="5"/>
      </w:pPr>
      <w:r>
        <w:rPr>
          <w:rFonts w:hint="eastAsia"/>
        </w:rPr>
        <w:t>安全组件</w:t>
      </w:r>
    </w:p>
    <w:p w14:paraId="75B7E00B">
      <w:pPr>
        <w:ind w:firstLine="480"/>
        <w:rPr>
          <w:rFonts w:hint="eastAsia"/>
        </w:rPr>
      </w:pPr>
      <w:r>
        <w:rPr>
          <w:rFonts w:hint="eastAsia"/>
        </w:rPr>
        <w:t>云安全管理平台集成了种类丰富的安全组件，覆盖从远程接入、边界防护、入侵防护、病毒过滤、终端防护、堡垒机、数据库审计等全面的安全能力。不仅能够提供立体化的安全防护能力，还能充分满足各种合规标准中信息安全防护的要求。</w:t>
      </w:r>
    </w:p>
    <w:p w14:paraId="75B7E00C">
      <w:pPr>
        <w:ind w:firstLine="480"/>
        <w:rPr>
          <w:rFonts w:hint="eastAsia"/>
        </w:rPr>
      </w:pPr>
      <w:r>
        <w:rPr>
          <w:rFonts w:hint="eastAsia"/>
        </w:rPr>
        <w:t>租户可以通过安全资源池内对各个安全组件的介绍详细了解安全组件的特点、功能、性能、部署拓扑等信息。</w:t>
      </w:r>
    </w:p>
    <w:tbl>
      <w:tblPr>
        <w:tblStyle w:val="38"/>
        <w:tblW w:w="8500" w:type="dxa"/>
        <w:tblInd w:w="0" w:type="dxa"/>
        <w:tblLayout w:type="fixed"/>
        <w:tblCellMar>
          <w:top w:w="0" w:type="dxa"/>
          <w:left w:w="108" w:type="dxa"/>
          <w:bottom w:w="0" w:type="dxa"/>
          <w:right w:w="108" w:type="dxa"/>
        </w:tblCellMar>
      </w:tblPr>
      <w:tblGrid>
        <w:gridCol w:w="2235"/>
        <w:gridCol w:w="6265"/>
      </w:tblGrid>
      <w:tr w14:paraId="75B7E00F">
        <w:tblPrEx>
          <w:tblCellMar>
            <w:top w:w="0" w:type="dxa"/>
            <w:left w:w="108" w:type="dxa"/>
            <w:bottom w:w="0" w:type="dxa"/>
            <w:right w:w="108" w:type="dxa"/>
          </w:tblCellMar>
        </w:tblPrEx>
        <w:trPr>
          <w:tblHeader/>
        </w:trPr>
        <w:tc>
          <w:tcPr>
            <w:tcW w:w="2235" w:type="dxa"/>
            <w:tcBorders>
              <w:top w:val="single" w:color="auto" w:sz="4" w:space="0"/>
              <w:left w:val="single" w:color="auto" w:sz="4" w:space="0"/>
              <w:bottom w:val="single" w:color="auto" w:sz="4" w:space="0"/>
              <w:right w:val="single" w:color="auto" w:sz="4" w:space="0"/>
            </w:tcBorders>
            <w:shd w:val="clear" w:color="auto" w:fill="00B050"/>
            <w:vAlign w:val="center"/>
          </w:tcPr>
          <w:p w14:paraId="75B7E00D">
            <w:pPr>
              <w:widowControl/>
              <w:ind w:firstLine="0" w:firstLineChars="0"/>
              <w:rPr>
                <w:rFonts w:hint="eastAsia" w:ascii="仿宋" w:hAnsi="仿宋" w:eastAsia="仿宋" w:cs="仿宋"/>
                <w:b/>
                <w:bCs/>
              </w:rPr>
            </w:pPr>
            <w:r>
              <w:rPr>
                <w:rFonts w:hint="eastAsia" w:ascii="仿宋" w:hAnsi="仿宋" w:eastAsia="仿宋" w:cs="仿宋"/>
                <w:b/>
                <w:bCs/>
              </w:rPr>
              <w:t>组件名称</w:t>
            </w:r>
          </w:p>
        </w:tc>
        <w:tc>
          <w:tcPr>
            <w:tcW w:w="6265" w:type="dxa"/>
            <w:tcBorders>
              <w:top w:val="single" w:color="auto" w:sz="4" w:space="0"/>
              <w:left w:val="nil"/>
              <w:bottom w:val="single" w:color="auto" w:sz="4" w:space="0"/>
              <w:right w:val="single" w:color="auto" w:sz="4" w:space="0"/>
            </w:tcBorders>
            <w:shd w:val="clear" w:color="auto" w:fill="00B050"/>
            <w:vAlign w:val="center"/>
          </w:tcPr>
          <w:p w14:paraId="75B7E00E">
            <w:pPr>
              <w:widowControl/>
              <w:ind w:firstLine="0" w:firstLineChars="0"/>
              <w:rPr>
                <w:rFonts w:hint="eastAsia" w:ascii="仿宋" w:hAnsi="仿宋" w:eastAsia="仿宋" w:cs="仿宋"/>
                <w:b/>
                <w:bCs/>
              </w:rPr>
            </w:pPr>
            <w:r>
              <w:rPr>
                <w:rFonts w:hint="eastAsia" w:ascii="仿宋" w:hAnsi="仿宋" w:eastAsia="仿宋" w:cs="仿宋"/>
                <w:b/>
                <w:bCs/>
              </w:rPr>
              <w:t>组件描述</w:t>
            </w:r>
          </w:p>
        </w:tc>
      </w:tr>
      <w:tr w14:paraId="75B7E012">
        <w:tblPrEx>
          <w:tblCellMar>
            <w:top w:w="0" w:type="dxa"/>
            <w:left w:w="108" w:type="dxa"/>
            <w:bottom w:w="0" w:type="dxa"/>
            <w:right w:w="108" w:type="dxa"/>
          </w:tblCellMar>
        </w:tblPrEx>
        <w:tc>
          <w:tcPr>
            <w:tcW w:w="2235" w:type="dxa"/>
            <w:tcBorders>
              <w:top w:val="nil"/>
              <w:left w:val="single" w:color="auto" w:sz="4" w:space="0"/>
              <w:bottom w:val="single" w:color="auto" w:sz="4" w:space="0"/>
              <w:right w:val="single" w:color="auto" w:sz="4" w:space="0"/>
            </w:tcBorders>
            <w:vAlign w:val="center"/>
          </w:tcPr>
          <w:p w14:paraId="75B7E010">
            <w:pPr>
              <w:widowControl/>
              <w:ind w:firstLine="0" w:firstLineChars="0"/>
              <w:rPr>
                <w:rFonts w:hint="eastAsia" w:ascii="仿宋" w:hAnsi="仿宋" w:eastAsia="仿宋" w:cs="仿宋"/>
              </w:rPr>
            </w:pPr>
            <w:r>
              <w:rPr>
                <w:rFonts w:hint="eastAsia" w:ascii="仿宋" w:hAnsi="仿宋" w:eastAsia="仿宋" w:cs="仿宋"/>
              </w:rPr>
              <w:t>云主机安全组件</w:t>
            </w:r>
          </w:p>
        </w:tc>
        <w:tc>
          <w:tcPr>
            <w:tcW w:w="6265" w:type="dxa"/>
            <w:tcBorders>
              <w:top w:val="nil"/>
              <w:left w:val="nil"/>
              <w:bottom w:val="single" w:color="auto" w:sz="4" w:space="0"/>
              <w:right w:val="single" w:color="auto" w:sz="4" w:space="0"/>
            </w:tcBorders>
            <w:vAlign w:val="center"/>
          </w:tcPr>
          <w:p w14:paraId="75B7E011">
            <w:pPr>
              <w:widowControl/>
              <w:ind w:firstLine="0" w:firstLineChars="0"/>
              <w:rPr>
                <w:rFonts w:hint="eastAsia" w:ascii="仿宋" w:hAnsi="仿宋" w:eastAsia="仿宋" w:cs="仿宋"/>
              </w:rPr>
            </w:pPr>
            <w:r>
              <w:rPr>
                <w:rFonts w:hint="eastAsia" w:ascii="仿宋" w:hAnsi="仿宋" w:eastAsia="仿宋" w:cs="仿宋"/>
              </w:rPr>
              <w:t>按照虚拟机数量进行报价，提供虚拟化主机安全，轻代理主机防病毒、主机防火墙、Webshell检测等功能。</w:t>
            </w:r>
          </w:p>
        </w:tc>
      </w:tr>
      <w:tr w14:paraId="75B7E015">
        <w:tblPrEx>
          <w:tblCellMar>
            <w:top w:w="0" w:type="dxa"/>
            <w:left w:w="108" w:type="dxa"/>
            <w:bottom w:w="0" w:type="dxa"/>
            <w:right w:w="108" w:type="dxa"/>
          </w:tblCellMar>
        </w:tblPrEx>
        <w:tc>
          <w:tcPr>
            <w:tcW w:w="2235" w:type="dxa"/>
            <w:tcBorders>
              <w:top w:val="nil"/>
              <w:left w:val="single" w:color="auto" w:sz="4" w:space="0"/>
              <w:bottom w:val="single" w:color="auto" w:sz="4" w:space="0"/>
              <w:right w:val="single" w:color="auto" w:sz="4" w:space="0"/>
            </w:tcBorders>
            <w:vAlign w:val="center"/>
          </w:tcPr>
          <w:p w14:paraId="75B7E013">
            <w:pPr>
              <w:widowControl/>
              <w:ind w:firstLine="0" w:firstLineChars="0"/>
              <w:rPr>
                <w:rFonts w:hint="eastAsia" w:ascii="仿宋" w:hAnsi="仿宋" w:eastAsia="仿宋" w:cs="仿宋"/>
              </w:rPr>
            </w:pPr>
            <w:r>
              <w:rPr>
                <w:rFonts w:hint="eastAsia" w:ascii="仿宋" w:hAnsi="仿宋" w:eastAsia="仿宋" w:cs="仿宋"/>
              </w:rPr>
              <w:t>下一代防火墙组件</w:t>
            </w:r>
          </w:p>
        </w:tc>
        <w:tc>
          <w:tcPr>
            <w:tcW w:w="6265" w:type="dxa"/>
            <w:tcBorders>
              <w:top w:val="nil"/>
              <w:left w:val="nil"/>
              <w:bottom w:val="single" w:color="auto" w:sz="4" w:space="0"/>
              <w:right w:val="single" w:color="auto" w:sz="4" w:space="0"/>
            </w:tcBorders>
            <w:vAlign w:val="center"/>
          </w:tcPr>
          <w:p w14:paraId="75B7E014">
            <w:pPr>
              <w:widowControl/>
              <w:ind w:firstLine="0" w:firstLineChars="0"/>
              <w:rPr>
                <w:rFonts w:hint="eastAsia" w:ascii="仿宋" w:hAnsi="仿宋" w:eastAsia="仿宋" w:cs="仿宋"/>
              </w:rPr>
            </w:pPr>
            <w:r>
              <w:rPr>
                <w:rFonts w:hint="eastAsia" w:ascii="仿宋" w:hAnsi="仿宋" w:eastAsia="仿宋" w:cs="仿宋"/>
              </w:rPr>
              <w:t>提供下一代防火墙安全能力，其一般适用于云租户级别和一般私有云业务防护场景中使用。提供虚拟化防火墙安全能力，提供准入和安全防范能力。</w:t>
            </w:r>
          </w:p>
        </w:tc>
      </w:tr>
      <w:tr w14:paraId="75B7E018">
        <w:tblPrEx>
          <w:tblCellMar>
            <w:top w:w="0" w:type="dxa"/>
            <w:left w:w="108" w:type="dxa"/>
            <w:bottom w:w="0" w:type="dxa"/>
            <w:right w:w="108" w:type="dxa"/>
          </w:tblCellMar>
        </w:tblPrEx>
        <w:tc>
          <w:tcPr>
            <w:tcW w:w="2235" w:type="dxa"/>
            <w:tcBorders>
              <w:top w:val="nil"/>
              <w:left w:val="single" w:color="auto" w:sz="4" w:space="0"/>
              <w:bottom w:val="single" w:color="auto" w:sz="4" w:space="0"/>
              <w:right w:val="single" w:color="auto" w:sz="4" w:space="0"/>
            </w:tcBorders>
            <w:vAlign w:val="center"/>
          </w:tcPr>
          <w:p w14:paraId="75B7E016">
            <w:pPr>
              <w:widowControl/>
              <w:ind w:firstLine="0" w:firstLineChars="0"/>
              <w:rPr>
                <w:rFonts w:hint="eastAsia" w:ascii="仿宋" w:hAnsi="仿宋" w:eastAsia="仿宋" w:cs="仿宋"/>
              </w:rPr>
            </w:pPr>
            <w:r>
              <w:rPr>
                <w:rFonts w:hint="eastAsia" w:ascii="仿宋" w:hAnsi="仿宋" w:eastAsia="仿宋" w:cs="仿宋"/>
              </w:rPr>
              <w:t>Web应用防火墙组件</w:t>
            </w:r>
          </w:p>
        </w:tc>
        <w:tc>
          <w:tcPr>
            <w:tcW w:w="6265" w:type="dxa"/>
            <w:tcBorders>
              <w:top w:val="nil"/>
              <w:left w:val="nil"/>
              <w:bottom w:val="single" w:color="auto" w:sz="4" w:space="0"/>
              <w:right w:val="single" w:color="auto" w:sz="4" w:space="0"/>
            </w:tcBorders>
            <w:vAlign w:val="center"/>
          </w:tcPr>
          <w:p w14:paraId="75B7E017">
            <w:pPr>
              <w:widowControl/>
              <w:ind w:firstLine="0" w:firstLineChars="0"/>
              <w:rPr>
                <w:rFonts w:hint="eastAsia" w:ascii="仿宋" w:hAnsi="仿宋" w:eastAsia="仿宋" w:cs="仿宋"/>
              </w:rPr>
            </w:pPr>
            <w:r>
              <w:rPr>
                <w:rFonts w:hint="eastAsia" w:ascii="仿宋" w:hAnsi="仿宋" w:eastAsia="仿宋" w:cs="仿宋"/>
              </w:rPr>
              <w:t>提供虚拟化Web应用安全防护能力</w:t>
            </w:r>
          </w:p>
        </w:tc>
      </w:tr>
      <w:tr w14:paraId="75B7E01B">
        <w:tblPrEx>
          <w:tblCellMar>
            <w:top w:w="0" w:type="dxa"/>
            <w:left w:w="108" w:type="dxa"/>
            <w:bottom w:w="0" w:type="dxa"/>
            <w:right w:w="108" w:type="dxa"/>
          </w:tblCellMar>
        </w:tblPrEx>
        <w:tc>
          <w:tcPr>
            <w:tcW w:w="2235" w:type="dxa"/>
            <w:tcBorders>
              <w:top w:val="nil"/>
              <w:left w:val="single" w:color="auto" w:sz="4" w:space="0"/>
              <w:bottom w:val="single" w:color="auto" w:sz="4" w:space="0"/>
              <w:right w:val="single" w:color="auto" w:sz="4" w:space="0"/>
            </w:tcBorders>
            <w:vAlign w:val="center"/>
          </w:tcPr>
          <w:p w14:paraId="75B7E019">
            <w:pPr>
              <w:widowControl/>
              <w:ind w:firstLine="0" w:firstLineChars="0"/>
              <w:rPr>
                <w:rFonts w:hint="eastAsia" w:ascii="仿宋" w:hAnsi="仿宋" w:eastAsia="仿宋" w:cs="仿宋"/>
              </w:rPr>
            </w:pPr>
            <w:r>
              <w:rPr>
                <w:rFonts w:hint="eastAsia" w:ascii="仿宋" w:hAnsi="仿宋" w:eastAsia="仿宋" w:cs="仿宋"/>
              </w:rPr>
              <w:t>综合漏洞组件</w:t>
            </w:r>
          </w:p>
        </w:tc>
        <w:tc>
          <w:tcPr>
            <w:tcW w:w="6265" w:type="dxa"/>
            <w:tcBorders>
              <w:top w:val="nil"/>
              <w:left w:val="nil"/>
              <w:bottom w:val="single" w:color="auto" w:sz="4" w:space="0"/>
              <w:right w:val="single" w:color="auto" w:sz="4" w:space="0"/>
            </w:tcBorders>
            <w:vAlign w:val="center"/>
          </w:tcPr>
          <w:p w14:paraId="75B7E01A">
            <w:pPr>
              <w:widowControl/>
              <w:ind w:firstLine="0" w:firstLineChars="0"/>
              <w:rPr>
                <w:rFonts w:hint="eastAsia" w:ascii="仿宋" w:hAnsi="仿宋" w:eastAsia="仿宋" w:cs="仿宋"/>
              </w:rPr>
            </w:pPr>
            <w:r>
              <w:rPr>
                <w:rFonts w:hint="eastAsia" w:ascii="仿宋" w:hAnsi="仿宋" w:eastAsia="仿宋" w:cs="仿宋"/>
              </w:rPr>
              <w:t>该版本包含多个模块授权：数据库漏洞扫描、系统漏洞扫描、WEB漏洞扫描、等保合规检查模块。</w:t>
            </w:r>
          </w:p>
        </w:tc>
      </w:tr>
      <w:tr w14:paraId="75B7E01E">
        <w:tblPrEx>
          <w:tblCellMar>
            <w:top w:w="0" w:type="dxa"/>
            <w:left w:w="108" w:type="dxa"/>
            <w:bottom w:w="0" w:type="dxa"/>
            <w:right w:w="108" w:type="dxa"/>
          </w:tblCellMar>
        </w:tblPrEx>
        <w:tc>
          <w:tcPr>
            <w:tcW w:w="2235" w:type="dxa"/>
            <w:tcBorders>
              <w:top w:val="nil"/>
              <w:left w:val="single" w:color="auto" w:sz="4" w:space="0"/>
              <w:bottom w:val="single" w:color="auto" w:sz="4" w:space="0"/>
              <w:right w:val="single" w:color="auto" w:sz="4" w:space="0"/>
            </w:tcBorders>
            <w:vAlign w:val="center"/>
          </w:tcPr>
          <w:p w14:paraId="75B7E01C">
            <w:pPr>
              <w:widowControl/>
              <w:ind w:firstLine="0" w:firstLineChars="0"/>
              <w:rPr>
                <w:rFonts w:hint="eastAsia" w:ascii="仿宋" w:hAnsi="仿宋" w:eastAsia="仿宋" w:cs="仿宋"/>
              </w:rPr>
            </w:pPr>
            <w:r>
              <w:rPr>
                <w:rFonts w:hint="eastAsia" w:ascii="仿宋" w:hAnsi="仿宋" w:eastAsia="仿宋" w:cs="仿宋"/>
              </w:rPr>
              <w:t>堡垒机组件</w:t>
            </w:r>
          </w:p>
        </w:tc>
        <w:tc>
          <w:tcPr>
            <w:tcW w:w="6265" w:type="dxa"/>
            <w:tcBorders>
              <w:top w:val="nil"/>
              <w:left w:val="nil"/>
              <w:bottom w:val="single" w:color="auto" w:sz="4" w:space="0"/>
              <w:right w:val="single" w:color="auto" w:sz="4" w:space="0"/>
            </w:tcBorders>
            <w:vAlign w:val="center"/>
          </w:tcPr>
          <w:p w14:paraId="75B7E01D">
            <w:pPr>
              <w:widowControl/>
              <w:ind w:firstLine="0" w:firstLineChars="0"/>
              <w:rPr>
                <w:rFonts w:hint="eastAsia" w:ascii="仿宋" w:hAnsi="仿宋" w:eastAsia="仿宋" w:cs="仿宋"/>
              </w:rPr>
            </w:pPr>
            <w:r>
              <w:rPr>
                <w:rFonts w:hint="eastAsia" w:ascii="仿宋" w:hAnsi="仿宋" w:eastAsia="仿宋" w:cs="仿宋"/>
              </w:rPr>
              <w:t>提供虚拟化运维安全管理与审计系统（堡垒机）安全能力，可管理不同类别资产（服务器、数据库、网络设备）。</w:t>
            </w:r>
          </w:p>
        </w:tc>
      </w:tr>
      <w:tr w14:paraId="75B7E021">
        <w:tblPrEx>
          <w:tblCellMar>
            <w:top w:w="0" w:type="dxa"/>
            <w:left w:w="108" w:type="dxa"/>
            <w:bottom w:w="0" w:type="dxa"/>
            <w:right w:w="108" w:type="dxa"/>
          </w:tblCellMar>
        </w:tblPrEx>
        <w:tc>
          <w:tcPr>
            <w:tcW w:w="2235" w:type="dxa"/>
            <w:tcBorders>
              <w:top w:val="nil"/>
              <w:left w:val="single" w:color="auto" w:sz="4" w:space="0"/>
              <w:bottom w:val="single" w:color="auto" w:sz="4" w:space="0"/>
              <w:right w:val="single" w:color="auto" w:sz="4" w:space="0"/>
            </w:tcBorders>
            <w:vAlign w:val="center"/>
          </w:tcPr>
          <w:p w14:paraId="75B7E01F">
            <w:pPr>
              <w:widowControl/>
              <w:ind w:firstLine="0" w:firstLineChars="0"/>
              <w:rPr>
                <w:rFonts w:hint="eastAsia" w:ascii="仿宋" w:hAnsi="仿宋" w:eastAsia="仿宋" w:cs="仿宋"/>
              </w:rPr>
            </w:pPr>
            <w:r>
              <w:rPr>
                <w:rFonts w:hint="eastAsia" w:ascii="仿宋" w:hAnsi="仿宋" w:eastAsia="仿宋" w:cs="仿宋"/>
              </w:rPr>
              <w:t>数据库审计组件</w:t>
            </w:r>
          </w:p>
        </w:tc>
        <w:tc>
          <w:tcPr>
            <w:tcW w:w="6265" w:type="dxa"/>
            <w:tcBorders>
              <w:top w:val="nil"/>
              <w:left w:val="nil"/>
              <w:bottom w:val="single" w:color="auto" w:sz="4" w:space="0"/>
              <w:right w:val="single" w:color="auto" w:sz="4" w:space="0"/>
            </w:tcBorders>
            <w:vAlign w:val="center"/>
          </w:tcPr>
          <w:p w14:paraId="75B7E020">
            <w:pPr>
              <w:widowControl/>
              <w:ind w:firstLine="0" w:firstLineChars="0"/>
              <w:rPr>
                <w:rFonts w:hint="eastAsia" w:ascii="仿宋" w:hAnsi="仿宋" w:eastAsia="仿宋" w:cs="仿宋"/>
              </w:rPr>
            </w:pPr>
            <w:r>
              <w:rPr>
                <w:rFonts w:hint="eastAsia" w:ascii="仿宋" w:hAnsi="仿宋" w:eastAsia="仿宋" w:cs="仿宋"/>
              </w:rPr>
              <w:t>提供虚拟化数据库审计能力。</w:t>
            </w:r>
            <w:r>
              <w:rPr>
                <w:rFonts w:hint="eastAsia" w:ascii="仿宋" w:hAnsi="仿宋" w:eastAsia="仿宋" w:cs="仿宋"/>
              </w:rPr>
              <w:br w:type="textWrapping"/>
            </w:r>
            <w:r>
              <w:rPr>
                <w:rFonts w:hint="eastAsia" w:ascii="仿宋" w:hAnsi="仿宋" w:eastAsia="仿宋" w:cs="仿宋"/>
              </w:rPr>
              <w:t>对来自应用系统客户端和DBA对数据库的访问行为进行全面审计，审计系统能详细记录查询、删除、增加、修改等行为及操作结果，对危险操作实时预警、及时阻止，达到保护数据库的效果。</w:t>
            </w:r>
          </w:p>
        </w:tc>
      </w:tr>
      <w:tr w14:paraId="75B7E024">
        <w:tblPrEx>
          <w:tblCellMar>
            <w:top w:w="0" w:type="dxa"/>
            <w:left w:w="108" w:type="dxa"/>
            <w:bottom w:w="0" w:type="dxa"/>
            <w:right w:w="108" w:type="dxa"/>
          </w:tblCellMar>
        </w:tblPrEx>
        <w:tc>
          <w:tcPr>
            <w:tcW w:w="2235" w:type="dxa"/>
            <w:tcBorders>
              <w:top w:val="nil"/>
              <w:left w:val="single" w:color="auto" w:sz="4" w:space="0"/>
              <w:bottom w:val="single" w:color="auto" w:sz="4" w:space="0"/>
              <w:right w:val="single" w:color="auto" w:sz="4" w:space="0"/>
            </w:tcBorders>
            <w:vAlign w:val="center"/>
          </w:tcPr>
          <w:p w14:paraId="75B7E022">
            <w:pPr>
              <w:widowControl/>
              <w:ind w:firstLine="0" w:firstLineChars="0"/>
              <w:rPr>
                <w:rFonts w:hint="eastAsia" w:ascii="仿宋" w:hAnsi="仿宋" w:eastAsia="仿宋" w:cs="仿宋"/>
              </w:rPr>
            </w:pPr>
            <w:r>
              <w:rPr>
                <w:rFonts w:hint="eastAsia" w:ascii="仿宋" w:hAnsi="仿宋" w:eastAsia="仿宋" w:cs="仿宋"/>
              </w:rPr>
              <w:t>日志审计组件</w:t>
            </w:r>
          </w:p>
        </w:tc>
        <w:tc>
          <w:tcPr>
            <w:tcW w:w="6265" w:type="dxa"/>
            <w:tcBorders>
              <w:top w:val="nil"/>
              <w:left w:val="nil"/>
              <w:bottom w:val="single" w:color="auto" w:sz="4" w:space="0"/>
              <w:right w:val="single" w:color="auto" w:sz="4" w:space="0"/>
            </w:tcBorders>
            <w:vAlign w:val="center"/>
          </w:tcPr>
          <w:p w14:paraId="75B7E023">
            <w:pPr>
              <w:widowControl/>
              <w:ind w:firstLine="0" w:firstLineChars="0"/>
              <w:rPr>
                <w:rFonts w:hint="eastAsia" w:ascii="仿宋" w:hAnsi="仿宋" w:eastAsia="仿宋" w:cs="仿宋"/>
              </w:rPr>
            </w:pPr>
            <w:r>
              <w:rPr>
                <w:rFonts w:hint="eastAsia" w:ascii="仿宋" w:hAnsi="仿宋" w:eastAsia="仿宋" w:cs="仿宋"/>
              </w:rPr>
              <w:t>提供虚拟化日志管理功能，支持统一日志收集、展示、存储。</w:t>
            </w:r>
          </w:p>
        </w:tc>
      </w:tr>
    </w:tbl>
    <w:p w14:paraId="75B7E025">
      <w:pPr>
        <w:pStyle w:val="4"/>
        <w:rPr>
          <w:rFonts w:hint="eastAsia"/>
        </w:rPr>
      </w:pPr>
      <w:bookmarkStart w:id="165" w:name="_Toc30054"/>
      <w:r>
        <w:rPr>
          <w:rFonts w:hint="eastAsia"/>
        </w:rPr>
        <w:t>安全体系建设依据</w:t>
      </w:r>
      <w:bookmarkEnd w:id="165"/>
    </w:p>
    <w:p w14:paraId="75B7E026">
      <w:pPr>
        <w:pStyle w:val="5"/>
      </w:pPr>
      <w:r>
        <w:rPr>
          <w:rFonts w:hint="eastAsia"/>
        </w:rPr>
        <w:t>政策与法规依据</w:t>
      </w:r>
    </w:p>
    <w:p w14:paraId="75B7E027">
      <w:pPr>
        <w:ind w:firstLine="480"/>
        <w:rPr>
          <w:rFonts w:hint="eastAsia"/>
        </w:rPr>
      </w:pPr>
      <w:r>
        <w:rPr>
          <w:rFonts w:hint="eastAsia"/>
        </w:rPr>
        <w:t>国家网络安全与数据安全法规：严格遵循《中华人民共和国网络安全法》《中华人民共和国数据安全法》《网络安全审查办法》，落实数据分类分级保护、网络安全审查等法定要求，确保项目建设与运营合规。</w:t>
      </w:r>
    </w:p>
    <w:p w14:paraId="75B7E028">
      <w:pPr>
        <w:ind w:firstLine="480"/>
        <w:rPr>
          <w:rFonts w:hint="eastAsia"/>
        </w:rPr>
      </w:pPr>
      <w:r>
        <w:rPr>
          <w:rFonts w:hint="eastAsia"/>
        </w:rPr>
        <w:t>网络安全等级保护标准：依据《信息安全技术 网络安全等级保护基本要求》（GB/T 22239-2019）三级标准，从技术防护（网络边界、主机、应用、数据）与管理体系（制度、机构、人员、运维）两方面构建防护能力。</w:t>
      </w:r>
    </w:p>
    <w:p w14:paraId="75B7E029">
      <w:pPr>
        <w:ind w:firstLine="480"/>
        <w:rPr>
          <w:rFonts w:hint="eastAsia"/>
        </w:rPr>
      </w:pPr>
      <w:r>
        <w:rPr>
          <w:rFonts w:hint="eastAsia"/>
        </w:rPr>
        <w:t>商用密码应用规范：按照《中华人民共和国密码法》《商用密码应用安全性评估管理办法》及《信息系统密码应用基本要求》（GB/T 39786-2021），在数据传输、存储、身份认证等环节采用国产密码技术，确保密码应用合规。</w:t>
      </w:r>
    </w:p>
    <w:p w14:paraId="75B7E02A">
      <w:pPr>
        <w:pStyle w:val="5"/>
      </w:pPr>
      <w:r>
        <w:rPr>
          <w:rFonts w:hint="eastAsia"/>
        </w:rPr>
        <w:t>业务与技术适配依据</w:t>
      </w:r>
    </w:p>
    <w:p w14:paraId="75B7E02B">
      <w:pPr>
        <w:ind w:firstLine="480"/>
        <w:rPr>
          <w:rFonts w:hint="eastAsia"/>
        </w:rPr>
      </w:pPr>
      <w:r>
        <w:rPr>
          <w:rFonts w:hint="eastAsia"/>
        </w:rPr>
        <w:t>业务安全需求：针对“敏感数据多、多边界交互、7×24 小时不间断运行” 特点，重点强化数据防泄露、边界防护、设备高可用设计。</w:t>
      </w:r>
    </w:p>
    <w:p w14:paraId="75B7E02C">
      <w:pPr>
        <w:pStyle w:val="4"/>
        <w:rPr>
          <w:rFonts w:hint="eastAsia"/>
        </w:rPr>
      </w:pPr>
      <w:bookmarkStart w:id="166" w:name="_Toc30847"/>
      <w:r>
        <w:rPr>
          <w:rFonts w:hint="eastAsia"/>
        </w:rPr>
        <w:t>安全体系建设目标</w:t>
      </w:r>
      <w:bookmarkEnd w:id="166"/>
    </w:p>
    <w:p w14:paraId="75B7E02D">
      <w:pPr>
        <w:ind w:firstLine="480"/>
        <w:rPr>
          <w:rFonts w:hint="eastAsia"/>
        </w:rPr>
      </w:pPr>
      <w:r>
        <w:rPr>
          <w:rFonts w:hint="eastAsia"/>
        </w:rPr>
        <w:t>围绕岳阳市</w:t>
      </w:r>
      <w:r>
        <w:rPr>
          <w:rFonts w:hint="eastAsia"/>
          <w:lang w:val="en-US"/>
        </w:rPr>
        <w:t>森林火灾高风险区综合治理能力</w:t>
      </w:r>
      <w:r>
        <w:rPr>
          <w:rFonts w:hint="eastAsia"/>
        </w:rPr>
        <w:t>提升需求，构建覆盖设备、网络、数据、应用全环节的安全防护体系，保障前端监测设备稳定运行、传输网络安全通畅、平台数据可靠存储与应用，防范非法入侵、数据泄露、设备破坏等风险，支撑综合执法闭环管理机制高效运转，为</w:t>
      </w:r>
      <w:r>
        <w:rPr>
          <w:rFonts w:hint="eastAsia"/>
          <w:lang w:val="en-US" w:eastAsia="zh-CN"/>
        </w:rPr>
        <w:t>森林防火</w:t>
      </w:r>
      <w:r>
        <w:rPr>
          <w:rFonts w:hint="eastAsia"/>
        </w:rPr>
        <w:t>提供安全保障。</w:t>
      </w:r>
    </w:p>
    <w:p w14:paraId="75B7E02E">
      <w:pPr>
        <w:pStyle w:val="4"/>
        <w:rPr>
          <w:rFonts w:hint="eastAsia"/>
        </w:rPr>
      </w:pPr>
      <w:bookmarkStart w:id="167" w:name="_Toc22089"/>
      <w:r>
        <w:rPr>
          <w:rFonts w:hint="eastAsia"/>
        </w:rPr>
        <w:t>安全体系架构</w:t>
      </w:r>
      <w:bookmarkEnd w:id="167"/>
    </w:p>
    <w:p w14:paraId="75B7E02F">
      <w:pPr>
        <w:ind w:firstLine="480"/>
        <w:rPr>
          <w:rFonts w:hint="eastAsia"/>
        </w:rPr>
      </w:pPr>
      <w:r>
        <w:rPr>
          <w:rFonts w:hint="eastAsia"/>
        </w:rPr>
        <w:t>采用“分层防护、全域管控”原则，构建“前端设备安全层—传输网络安全层—数据安全层—应用平台安全层”的四级安全架构，各层级协同联动，形成全链条安全防护能力，且系统部署环境建立在</w:t>
      </w:r>
      <w:r>
        <w:rPr>
          <w:rFonts w:hint="eastAsia"/>
          <w:lang w:val="en-US"/>
        </w:rPr>
        <w:t>软件提供商</w:t>
      </w:r>
      <w:r>
        <w:rPr>
          <w:rFonts w:hint="eastAsia"/>
        </w:rPr>
        <w:t>云平台之上，借助云平台自身的安全措施，具体架构如下：</w:t>
      </w:r>
    </w:p>
    <w:tbl>
      <w:tblPr>
        <w:tblStyle w:val="38"/>
        <w:tblpPr w:leftFromText="180" w:rightFromText="180" w:vertAnchor="text" w:horzAnchor="page" w:tblpX="1791" w:tblpY="409"/>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1164"/>
        <w:gridCol w:w="2278"/>
        <w:gridCol w:w="4851"/>
      </w:tblGrid>
      <w:tr w14:paraId="75B7E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blHeader/>
        </w:trPr>
        <w:tc>
          <w:tcPr>
            <w:tcW w:w="702" w:type="pct"/>
            <w:shd w:val="clear" w:color="auto" w:fill="FFFFFF"/>
            <w:vAlign w:val="center"/>
          </w:tcPr>
          <w:p w14:paraId="75B7E030">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防护层级</w:t>
            </w:r>
          </w:p>
        </w:tc>
        <w:tc>
          <w:tcPr>
            <w:tcW w:w="1373" w:type="pct"/>
            <w:shd w:val="clear" w:color="auto" w:fill="FFFFFF"/>
            <w:vAlign w:val="center"/>
          </w:tcPr>
          <w:p w14:paraId="75B7E031">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核心防护目标</w:t>
            </w:r>
          </w:p>
        </w:tc>
        <w:tc>
          <w:tcPr>
            <w:tcW w:w="2924" w:type="pct"/>
            <w:shd w:val="clear" w:color="auto" w:fill="FFFFFF"/>
            <w:vAlign w:val="center"/>
          </w:tcPr>
          <w:p w14:paraId="75B7E032">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关键防护措施</w:t>
            </w:r>
          </w:p>
        </w:tc>
      </w:tr>
      <w:tr w14:paraId="75B7E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702" w:type="pct"/>
            <w:shd w:val="clear" w:color="auto" w:fill="FFFFFF"/>
            <w:vAlign w:val="center"/>
          </w:tcPr>
          <w:p w14:paraId="75B7E034">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物理与环境安全</w:t>
            </w:r>
          </w:p>
        </w:tc>
        <w:tc>
          <w:tcPr>
            <w:tcW w:w="1373" w:type="pct"/>
            <w:shd w:val="clear" w:color="auto" w:fill="FFFFFF"/>
            <w:vAlign w:val="center"/>
          </w:tcPr>
          <w:p w14:paraId="75B7E035">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保障前端设备、云机房物理安全，防止设备破坏、非授权访问</w:t>
            </w:r>
          </w:p>
        </w:tc>
        <w:tc>
          <w:tcPr>
            <w:tcW w:w="2924" w:type="pct"/>
            <w:shd w:val="clear" w:color="auto" w:fill="FFFFFF"/>
            <w:vAlign w:val="center"/>
          </w:tcPr>
          <w:p w14:paraId="75B7E036">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1. 前端设备：加装防暴外壳、防雨防雷装置，太阳能供电系统配备防盗报警；2. 云机房：复用云机房物理防护（门禁、视频监控、消防、温湿度控制）</w:t>
            </w:r>
          </w:p>
        </w:tc>
      </w:tr>
      <w:tr w14:paraId="75B7E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702" w:type="pct"/>
            <w:shd w:val="clear" w:color="auto" w:fill="FFFFFF"/>
            <w:vAlign w:val="center"/>
          </w:tcPr>
          <w:p w14:paraId="75B7E038">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网络与通信安全</w:t>
            </w:r>
          </w:p>
        </w:tc>
        <w:tc>
          <w:tcPr>
            <w:tcW w:w="1373" w:type="pct"/>
            <w:shd w:val="clear" w:color="auto" w:fill="FFFFFF"/>
            <w:vAlign w:val="center"/>
          </w:tcPr>
          <w:p w14:paraId="75B7E039">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防范网络入侵、数据截获，保障前端与平台、跨部门数据传输安全</w:t>
            </w:r>
          </w:p>
        </w:tc>
        <w:tc>
          <w:tcPr>
            <w:tcW w:w="2924" w:type="pct"/>
            <w:shd w:val="clear" w:color="auto" w:fill="FFFFFF"/>
            <w:vAlign w:val="center"/>
          </w:tcPr>
          <w:p w14:paraId="75B7E03A">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1. 边界防护：云入口部署下一代防火墙（NGFW），启用入侵防御（IPS）、抗 DDoS 功能；2. 传输加密：前端设备与平台采用 SSL/TLS 1.3 加密传输，跨部门数据共享采用国密 SM4 算法加密；3. 无线防护：无人机 4G/5G 传输采用 VPN 专网，禁用弱加密套件</w:t>
            </w:r>
          </w:p>
        </w:tc>
      </w:tr>
      <w:tr w14:paraId="75B7E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702" w:type="pct"/>
            <w:shd w:val="clear" w:color="auto" w:fill="FFFFFF"/>
            <w:vAlign w:val="center"/>
          </w:tcPr>
          <w:p w14:paraId="75B7E03C">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设备与计算安全</w:t>
            </w:r>
          </w:p>
        </w:tc>
        <w:tc>
          <w:tcPr>
            <w:tcW w:w="1373" w:type="pct"/>
            <w:shd w:val="clear" w:color="auto" w:fill="FFFFFF"/>
            <w:vAlign w:val="center"/>
          </w:tcPr>
          <w:p w14:paraId="75B7E03D">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保障服务器、数据库、边缘计算设备安全，防范非法入侵与恶意代码</w:t>
            </w:r>
          </w:p>
        </w:tc>
        <w:tc>
          <w:tcPr>
            <w:tcW w:w="2924" w:type="pct"/>
            <w:shd w:val="clear" w:color="auto" w:fill="FFFFFF"/>
            <w:vAlign w:val="center"/>
          </w:tcPr>
          <w:p w14:paraId="75B7E03E">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1. 主机防护：复用云主机入侵防护软件（HIPS），禁用弱密码、关闭冗余端口；2. 数据库安全：启用数据库审计（</w:t>
            </w:r>
            <w:r>
              <w:rPr>
                <w:rFonts w:hint="eastAsia" w:ascii="仿宋_GB2312" w:hAnsi="仿宋_GB2312" w:cs="仿宋_GB2312"/>
                <w:sz w:val="20"/>
                <w:szCs w:val="20"/>
                <w:lang w:val="en-US" w:bidi="ar"/>
              </w:rPr>
              <w:t>软件提供商云</w:t>
            </w:r>
            <w:r>
              <w:rPr>
                <w:rFonts w:hint="eastAsia" w:ascii="仿宋_GB2312" w:hAnsi="仿宋_GB2312" w:cs="仿宋_GB2312"/>
                <w:sz w:val="20"/>
                <w:szCs w:val="20"/>
                <w:lang w:bidi="ar"/>
              </w:rPr>
              <w:t>提供），敏感字段（如身份证号）采用 SM4 加密存储；3. 恶意代码防护：复用</w:t>
            </w:r>
            <w:r>
              <w:rPr>
                <w:rFonts w:hint="eastAsia" w:ascii="仿宋_GB2312" w:hAnsi="仿宋_GB2312" w:cs="仿宋_GB2312"/>
                <w:sz w:val="20"/>
                <w:szCs w:val="20"/>
                <w:lang w:val="en-US" w:bidi="ar"/>
              </w:rPr>
              <w:t>软件提供商云</w:t>
            </w:r>
            <w:r>
              <w:rPr>
                <w:rFonts w:hint="eastAsia" w:ascii="仿宋_GB2312" w:hAnsi="仿宋_GB2312" w:cs="仿宋_GB2312"/>
                <w:sz w:val="20"/>
                <w:szCs w:val="20"/>
                <w:lang w:bidi="ar"/>
              </w:rPr>
              <w:t>恶意代码集中管理系统，实时病毒库更新（每日同步国家应急中心特征库）</w:t>
            </w:r>
          </w:p>
        </w:tc>
      </w:tr>
      <w:tr w14:paraId="75B7E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702" w:type="pct"/>
            <w:shd w:val="clear" w:color="auto" w:fill="FFFFFF"/>
            <w:vAlign w:val="center"/>
          </w:tcPr>
          <w:p w14:paraId="75B7E040">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应用与数据安全</w:t>
            </w:r>
          </w:p>
        </w:tc>
        <w:tc>
          <w:tcPr>
            <w:tcW w:w="1373" w:type="pct"/>
            <w:shd w:val="clear" w:color="auto" w:fill="FFFFFF"/>
            <w:vAlign w:val="center"/>
          </w:tcPr>
          <w:p w14:paraId="75B7E041">
            <w:pPr>
              <w:widowControl/>
              <w:spacing w:line="360" w:lineRule="auto"/>
              <w:ind w:firstLine="0" w:firstLineChars="0"/>
              <w:jc w:val="center"/>
              <w:rPr>
                <w:rFonts w:hint="eastAsia" w:ascii="仿宋_GB2312" w:hAnsi="仿宋_GB2312" w:cs="仿宋_GB2312"/>
                <w:sz w:val="20"/>
                <w:szCs w:val="20"/>
              </w:rPr>
            </w:pPr>
            <w:bookmarkStart w:id="168" w:name="OLE_LINK2"/>
            <w:r>
              <w:rPr>
                <w:rFonts w:hint="eastAsia" w:ascii="仿宋_GB2312" w:hAnsi="仿宋_GB2312" w:cs="仿宋_GB2312"/>
                <w:sz w:val="20"/>
                <w:szCs w:val="20"/>
                <w:lang w:bidi="ar"/>
              </w:rPr>
              <w:t>保障森林防火调度中心综合调度系统、巡护 APP 安全，防范 SQL 注入、数据泄露</w:t>
            </w:r>
            <w:bookmarkEnd w:id="168"/>
          </w:p>
        </w:tc>
        <w:tc>
          <w:tcPr>
            <w:tcW w:w="2924" w:type="pct"/>
            <w:shd w:val="clear" w:color="auto" w:fill="FFFFFF"/>
            <w:vAlign w:val="center"/>
          </w:tcPr>
          <w:p w14:paraId="75B7E042">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1. 应用防护：平台启用双因子认证（账号密码 + 动态验证码），输入过滤防 XSS 攻击，会话超时（30 分钟自动退出）；2. 数据安全：建立数据分级分类（核心业务数据 - 敏感身份数据 - 感知监测数据），数据销毁采用物理粉碎 + 逻辑覆盖；3. 个人信息保护：APP 隐私政策明示收集范围，提供信息更正 / 删除功能，符合 GB/T 35273-2020</w:t>
            </w:r>
          </w:p>
        </w:tc>
      </w:tr>
      <w:tr w14:paraId="75B7E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702" w:type="pct"/>
            <w:shd w:val="clear" w:color="auto" w:fill="FFFFFF"/>
            <w:vAlign w:val="center"/>
          </w:tcPr>
          <w:p w14:paraId="75B7E044">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安全管理</w:t>
            </w:r>
          </w:p>
        </w:tc>
        <w:tc>
          <w:tcPr>
            <w:tcW w:w="1373" w:type="pct"/>
            <w:shd w:val="clear" w:color="auto" w:fill="FFFFFF"/>
            <w:vAlign w:val="center"/>
          </w:tcPr>
          <w:p w14:paraId="75B7E045">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实现安全策略、事件、运维的集中管控，满足合规审计要求</w:t>
            </w:r>
          </w:p>
        </w:tc>
        <w:tc>
          <w:tcPr>
            <w:tcW w:w="2924" w:type="pct"/>
            <w:shd w:val="clear" w:color="auto" w:fill="FFFFFF"/>
            <w:vAlign w:val="center"/>
          </w:tcPr>
          <w:p w14:paraId="75B7E046">
            <w:pPr>
              <w:widowControl/>
              <w:spacing w:line="360" w:lineRule="auto"/>
              <w:ind w:firstLine="0" w:firstLineChars="0"/>
              <w:jc w:val="center"/>
              <w:rPr>
                <w:rFonts w:hint="eastAsia" w:ascii="仿宋_GB2312" w:hAnsi="仿宋_GB2312" w:cs="仿宋_GB2312"/>
                <w:sz w:val="20"/>
                <w:szCs w:val="20"/>
              </w:rPr>
            </w:pPr>
            <w:r>
              <w:rPr>
                <w:rFonts w:hint="eastAsia" w:ascii="仿宋_GB2312" w:hAnsi="仿宋_GB2312" w:cs="仿宋_GB2312"/>
                <w:sz w:val="20"/>
                <w:szCs w:val="20"/>
                <w:lang w:bidi="ar"/>
              </w:rPr>
              <w:t>1. 集中管理：复用</w:t>
            </w:r>
            <w:r>
              <w:rPr>
                <w:rFonts w:hint="eastAsia" w:ascii="仿宋_GB2312" w:hAnsi="仿宋_GB2312" w:cs="仿宋_GB2312"/>
                <w:sz w:val="20"/>
                <w:szCs w:val="20"/>
                <w:lang w:val="en-US" w:bidi="ar"/>
              </w:rPr>
              <w:t>软件提供商云</w:t>
            </w:r>
            <w:r>
              <w:rPr>
                <w:rFonts w:hint="eastAsia" w:ascii="仿宋_GB2312" w:hAnsi="仿宋_GB2312" w:cs="仿宋_GB2312"/>
                <w:sz w:val="20"/>
                <w:szCs w:val="20"/>
                <w:lang w:bidi="ar"/>
              </w:rPr>
              <w:t>安全管理平台，实现设备配置下发、补丁统一更新、日志集中审计；2. 事件处置：建立 “预警 - 分析 - 处置 - 复盘” 闭环，高危事件 30 分钟内响应；3. 制度流程：制定安全管理制度 15 项（含应急响应、运维管理），定期开展应急演练（每季度 1 次）</w:t>
            </w:r>
          </w:p>
        </w:tc>
      </w:tr>
    </w:tbl>
    <w:p w14:paraId="75B7E048">
      <w:pPr>
        <w:ind w:firstLine="480"/>
        <w:rPr>
          <w:rFonts w:hint="eastAsia"/>
        </w:rPr>
        <w:sectPr>
          <w:footerReference r:id="rId17" w:type="default"/>
          <w:pgSz w:w="11906" w:h="16838"/>
          <w:pgMar w:top="1440" w:right="1800" w:bottom="1440" w:left="1800" w:header="851" w:footer="992" w:gutter="0"/>
          <w:cols w:space="425" w:num="1"/>
          <w:docGrid w:type="lines" w:linePitch="312" w:charSpace="0"/>
        </w:sectPr>
      </w:pPr>
    </w:p>
    <w:p w14:paraId="75B7E049">
      <w:pPr>
        <w:ind w:firstLine="480"/>
        <w:rPr>
          <w:rFonts w:hint="eastAsia"/>
        </w:rPr>
      </w:pPr>
      <w:r>
        <w:rPr>
          <w:rFonts w:hint="eastAsia"/>
        </w:rPr>
        <w:t>本项目信息安全等级达到等保三级要求，具体防护措施如下：</w:t>
      </w:r>
    </w:p>
    <w:tbl>
      <w:tblPr>
        <w:tblStyle w:val="38"/>
        <w:tblW w:w="0" w:type="auto"/>
        <w:tblInd w:w="0" w:type="dxa"/>
        <w:tblLayout w:type="fixed"/>
        <w:tblCellMar>
          <w:top w:w="0" w:type="dxa"/>
          <w:left w:w="108" w:type="dxa"/>
          <w:bottom w:w="0" w:type="dxa"/>
          <w:right w:w="108" w:type="dxa"/>
        </w:tblCellMar>
      </w:tblPr>
      <w:tblGrid>
        <w:gridCol w:w="656"/>
        <w:gridCol w:w="1703"/>
        <w:gridCol w:w="6163"/>
      </w:tblGrid>
      <w:tr w14:paraId="75B7E04D">
        <w:tblPrEx>
          <w:tblCellMar>
            <w:top w:w="0" w:type="dxa"/>
            <w:left w:w="108" w:type="dxa"/>
            <w:bottom w:w="0" w:type="dxa"/>
            <w:right w:w="108" w:type="dxa"/>
          </w:tblCellMar>
        </w:tblPrEx>
        <w:trPr>
          <w:trHeight w:val="270" w:hRule="atLeast"/>
        </w:trPr>
        <w:tc>
          <w:tcPr>
            <w:tcW w:w="656" w:type="dxa"/>
            <w:tcBorders>
              <w:top w:val="single" w:color="auto" w:sz="4" w:space="0"/>
              <w:left w:val="single" w:color="auto" w:sz="4" w:space="0"/>
              <w:bottom w:val="single" w:color="auto" w:sz="4" w:space="0"/>
              <w:right w:val="single" w:color="auto" w:sz="4" w:space="0"/>
            </w:tcBorders>
            <w:noWrap/>
            <w:vAlign w:val="center"/>
          </w:tcPr>
          <w:p w14:paraId="75B7E04A">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序号</w:t>
            </w:r>
          </w:p>
        </w:tc>
        <w:tc>
          <w:tcPr>
            <w:tcW w:w="1703" w:type="dxa"/>
            <w:tcBorders>
              <w:top w:val="single" w:color="auto" w:sz="4" w:space="0"/>
              <w:left w:val="nil"/>
              <w:bottom w:val="single" w:color="auto" w:sz="4" w:space="0"/>
              <w:right w:val="single" w:color="auto" w:sz="4" w:space="0"/>
            </w:tcBorders>
            <w:noWrap/>
            <w:vAlign w:val="center"/>
          </w:tcPr>
          <w:p w14:paraId="75B7E04B">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内容</w:t>
            </w:r>
          </w:p>
        </w:tc>
        <w:tc>
          <w:tcPr>
            <w:tcW w:w="6163" w:type="dxa"/>
            <w:tcBorders>
              <w:top w:val="single" w:color="auto" w:sz="4" w:space="0"/>
              <w:left w:val="nil"/>
              <w:bottom w:val="single" w:color="auto" w:sz="4" w:space="0"/>
              <w:right w:val="single" w:color="auto" w:sz="4" w:space="0"/>
            </w:tcBorders>
            <w:vAlign w:val="center"/>
          </w:tcPr>
          <w:p w14:paraId="75B7E04C">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功能</w:t>
            </w:r>
          </w:p>
        </w:tc>
      </w:tr>
      <w:tr w14:paraId="75B7E051">
        <w:tblPrEx>
          <w:tblCellMar>
            <w:top w:w="0" w:type="dxa"/>
            <w:left w:w="108" w:type="dxa"/>
            <w:bottom w:w="0" w:type="dxa"/>
            <w:right w:w="108" w:type="dxa"/>
          </w:tblCellMar>
        </w:tblPrEx>
        <w:trPr>
          <w:trHeight w:val="540" w:hRule="atLeast"/>
        </w:trPr>
        <w:tc>
          <w:tcPr>
            <w:tcW w:w="656" w:type="dxa"/>
            <w:tcBorders>
              <w:top w:val="nil"/>
              <w:left w:val="single" w:color="auto" w:sz="4" w:space="0"/>
              <w:bottom w:val="single" w:color="auto" w:sz="4" w:space="0"/>
              <w:right w:val="single" w:color="auto" w:sz="4" w:space="0"/>
            </w:tcBorders>
            <w:noWrap/>
            <w:vAlign w:val="center"/>
          </w:tcPr>
          <w:p w14:paraId="75B7E04E">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1</w:t>
            </w:r>
          </w:p>
        </w:tc>
        <w:tc>
          <w:tcPr>
            <w:tcW w:w="1703" w:type="dxa"/>
            <w:tcBorders>
              <w:top w:val="nil"/>
              <w:left w:val="nil"/>
              <w:bottom w:val="single" w:color="auto" w:sz="4" w:space="0"/>
              <w:right w:val="single" w:color="auto" w:sz="4" w:space="0"/>
            </w:tcBorders>
            <w:noWrap/>
            <w:vAlign w:val="center"/>
          </w:tcPr>
          <w:p w14:paraId="75B7E04F">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防火墙(含IPS入侵防御)</w:t>
            </w:r>
          </w:p>
        </w:tc>
        <w:tc>
          <w:tcPr>
            <w:tcW w:w="6163" w:type="dxa"/>
            <w:tcBorders>
              <w:top w:val="nil"/>
              <w:left w:val="nil"/>
              <w:bottom w:val="single" w:color="auto" w:sz="4" w:space="0"/>
              <w:right w:val="single" w:color="auto" w:sz="4" w:space="0"/>
            </w:tcBorders>
            <w:vAlign w:val="center"/>
          </w:tcPr>
          <w:p w14:paraId="75B7E050">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可提供统一的互联网边界内网VPC边界、主机边界流量管控与安全防护，包括结合情报的实时入侵防护、全流量可视化分析、智能化访问控制、日志溯源分析等功能，是您的网络边界防护与等保合规利器。</w:t>
            </w:r>
          </w:p>
        </w:tc>
      </w:tr>
      <w:tr w14:paraId="75B7E055">
        <w:tblPrEx>
          <w:tblCellMar>
            <w:top w:w="0" w:type="dxa"/>
            <w:left w:w="108" w:type="dxa"/>
            <w:bottom w:w="0" w:type="dxa"/>
            <w:right w:w="108" w:type="dxa"/>
          </w:tblCellMar>
        </w:tblPrEx>
        <w:trPr>
          <w:trHeight w:val="540" w:hRule="atLeast"/>
        </w:trPr>
        <w:tc>
          <w:tcPr>
            <w:tcW w:w="656" w:type="dxa"/>
            <w:tcBorders>
              <w:top w:val="nil"/>
              <w:left w:val="single" w:color="auto" w:sz="4" w:space="0"/>
              <w:bottom w:val="single" w:color="auto" w:sz="4" w:space="0"/>
              <w:right w:val="single" w:color="auto" w:sz="4" w:space="0"/>
            </w:tcBorders>
            <w:noWrap/>
            <w:vAlign w:val="center"/>
          </w:tcPr>
          <w:p w14:paraId="75B7E052">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2</w:t>
            </w:r>
          </w:p>
        </w:tc>
        <w:tc>
          <w:tcPr>
            <w:tcW w:w="1703" w:type="dxa"/>
            <w:tcBorders>
              <w:top w:val="nil"/>
              <w:left w:val="nil"/>
              <w:bottom w:val="single" w:color="auto" w:sz="4" w:space="0"/>
              <w:right w:val="single" w:color="auto" w:sz="4" w:space="0"/>
            </w:tcBorders>
            <w:noWrap/>
            <w:vAlign w:val="center"/>
          </w:tcPr>
          <w:p w14:paraId="75B7E053">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Web应用防火墙</w:t>
            </w:r>
          </w:p>
        </w:tc>
        <w:tc>
          <w:tcPr>
            <w:tcW w:w="6163" w:type="dxa"/>
            <w:tcBorders>
              <w:top w:val="nil"/>
              <w:left w:val="nil"/>
              <w:bottom w:val="single" w:color="auto" w:sz="4" w:space="0"/>
              <w:right w:val="single" w:color="auto" w:sz="4" w:space="0"/>
            </w:tcBorders>
            <w:vAlign w:val="center"/>
          </w:tcPr>
          <w:p w14:paraId="75B7E054">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对网站或者APP的业务流进行恶意特征识别及防护，将正常、安全的流量回源到服务器。避免网站服务器被恶意入侵，保障业务的核心数据安全，解决因恶意攻击导致的服务器性能异常问题。</w:t>
            </w:r>
          </w:p>
        </w:tc>
      </w:tr>
      <w:tr w14:paraId="75B7E05A">
        <w:tblPrEx>
          <w:tblCellMar>
            <w:top w:w="0" w:type="dxa"/>
            <w:left w:w="108" w:type="dxa"/>
            <w:bottom w:w="0" w:type="dxa"/>
            <w:right w:w="108" w:type="dxa"/>
          </w:tblCellMar>
        </w:tblPrEx>
        <w:trPr>
          <w:trHeight w:val="606" w:hRule="atLeast"/>
        </w:trPr>
        <w:tc>
          <w:tcPr>
            <w:tcW w:w="656" w:type="dxa"/>
            <w:tcBorders>
              <w:top w:val="nil"/>
              <w:left w:val="single" w:color="auto" w:sz="4" w:space="0"/>
              <w:bottom w:val="single" w:color="auto" w:sz="4" w:space="0"/>
              <w:right w:val="single" w:color="auto" w:sz="4" w:space="0"/>
            </w:tcBorders>
            <w:noWrap/>
            <w:vAlign w:val="center"/>
          </w:tcPr>
          <w:p w14:paraId="75B7E056">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3</w:t>
            </w:r>
          </w:p>
        </w:tc>
        <w:tc>
          <w:tcPr>
            <w:tcW w:w="1703" w:type="dxa"/>
            <w:tcBorders>
              <w:top w:val="nil"/>
              <w:left w:val="nil"/>
              <w:bottom w:val="single" w:color="auto" w:sz="4" w:space="0"/>
              <w:right w:val="single" w:color="auto" w:sz="4" w:space="0"/>
            </w:tcBorders>
            <w:noWrap/>
            <w:vAlign w:val="center"/>
          </w:tcPr>
          <w:p w14:paraId="75B7E057">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漏洞扫描</w:t>
            </w:r>
          </w:p>
        </w:tc>
        <w:tc>
          <w:tcPr>
            <w:tcW w:w="6163" w:type="dxa"/>
            <w:tcBorders>
              <w:top w:val="nil"/>
              <w:left w:val="nil"/>
              <w:bottom w:val="single" w:color="auto" w:sz="4" w:space="0"/>
              <w:right w:val="single" w:color="auto" w:sz="4" w:space="0"/>
            </w:tcBorders>
            <w:vAlign w:val="center"/>
          </w:tcPr>
          <w:p w14:paraId="75B7E058">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1.每月开展全面的漏洞扫描工作，查找云平台、网络设备、服务器主机、用户口令等存在的安全风险、漏洞和威胁，针对发现的漏洞下发整改工单，明确修复方案，按照谁使用谁负责的原则组织进行整改，待整改完成后进行回归测试，确认整改到位后，关闭工单。</w:t>
            </w:r>
          </w:p>
          <w:p w14:paraId="75B7E059">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2.对重点应用和新上线应用的漏洞扫描工作，检查是否存在漏洞，及时发现并通知、协助用户单位进行整改。</w:t>
            </w:r>
          </w:p>
        </w:tc>
      </w:tr>
      <w:tr w14:paraId="75B7E05E">
        <w:tblPrEx>
          <w:tblCellMar>
            <w:top w:w="0" w:type="dxa"/>
            <w:left w:w="108" w:type="dxa"/>
            <w:bottom w:w="0" w:type="dxa"/>
            <w:right w:w="108" w:type="dxa"/>
          </w:tblCellMar>
        </w:tblPrEx>
        <w:trPr>
          <w:trHeight w:val="540" w:hRule="atLeast"/>
        </w:trPr>
        <w:tc>
          <w:tcPr>
            <w:tcW w:w="656" w:type="dxa"/>
            <w:tcBorders>
              <w:top w:val="nil"/>
              <w:left w:val="single" w:color="auto" w:sz="4" w:space="0"/>
              <w:bottom w:val="single" w:color="auto" w:sz="4" w:space="0"/>
              <w:right w:val="single" w:color="auto" w:sz="4" w:space="0"/>
            </w:tcBorders>
            <w:noWrap/>
            <w:vAlign w:val="center"/>
          </w:tcPr>
          <w:p w14:paraId="75B7E05B">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4</w:t>
            </w:r>
          </w:p>
        </w:tc>
        <w:tc>
          <w:tcPr>
            <w:tcW w:w="1703" w:type="dxa"/>
            <w:tcBorders>
              <w:top w:val="nil"/>
              <w:left w:val="nil"/>
              <w:bottom w:val="single" w:color="auto" w:sz="4" w:space="0"/>
              <w:right w:val="single" w:color="auto" w:sz="4" w:space="0"/>
            </w:tcBorders>
            <w:noWrap/>
            <w:vAlign w:val="center"/>
          </w:tcPr>
          <w:p w14:paraId="75B7E05C">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日志审计</w:t>
            </w:r>
          </w:p>
        </w:tc>
        <w:tc>
          <w:tcPr>
            <w:tcW w:w="6163" w:type="dxa"/>
            <w:tcBorders>
              <w:top w:val="nil"/>
              <w:left w:val="nil"/>
              <w:bottom w:val="single" w:color="auto" w:sz="4" w:space="0"/>
              <w:right w:val="single" w:color="auto" w:sz="4" w:space="0"/>
            </w:tcBorders>
            <w:vAlign w:val="center"/>
          </w:tcPr>
          <w:p w14:paraId="75B7E05D">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日志审计功能提供全面的安全事件审计日志，为日后事件追溯、合规查询提供有效的依据。本文介绍如何查看内网访问审计日志、互联网行日志审计功能提供全面的注册申请日志、卸载申请日志、加速日志和准入日志。</w:t>
            </w:r>
          </w:p>
        </w:tc>
      </w:tr>
      <w:tr w14:paraId="75B7E062">
        <w:tblPrEx>
          <w:tblCellMar>
            <w:top w:w="0" w:type="dxa"/>
            <w:left w:w="108" w:type="dxa"/>
            <w:bottom w:w="0" w:type="dxa"/>
            <w:right w:w="108" w:type="dxa"/>
          </w:tblCellMar>
        </w:tblPrEx>
        <w:trPr>
          <w:trHeight w:val="1080" w:hRule="atLeast"/>
        </w:trPr>
        <w:tc>
          <w:tcPr>
            <w:tcW w:w="656" w:type="dxa"/>
            <w:tcBorders>
              <w:top w:val="nil"/>
              <w:left w:val="single" w:color="auto" w:sz="4" w:space="0"/>
              <w:bottom w:val="single" w:color="auto" w:sz="4" w:space="0"/>
              <w:right w:val="single" w:color="auto" w:sz="4" w:space="0"/>
            </w:tcBorders>
            <w:noWrap/>
            <w:vAlign w:val="center"/>
          </w:tcPr>
          <w:p w14:paraId="75B7E05F">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5</w:t>
            </w:r>
          </w:p>
        </w:tc>
        <w:tc>
          <w:tcPr>
            <w:tcW w:w="1703" w:type="dxa"/>
            <w:tcBorders>
              <w:top w:val="nil"/>
              <w:left w:val="nil"/>
              <w:bottom w:val="single" w:color="auto" w:sz="4" w:space="0"/>
              <w:right w:val="single" w:color="auto" w:sz="4" w:space="0"/>
            </w:tcBorders>
            <w:noWrap/>
            <w:vAlign w:val="center"/>
          </w:tcPr>
          <w:p w14:paraId="75B7E060">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主机安全服务</w:t>
            </w:r>
          </w:p>
        </w:tc>
        <w:tc>
          <w:tcPr>
            <w:tcW w:w="6163" w:type="dxa"/>
            <w:tcBorders>
              <w:top w:val="nil"/>
              <w:left w:val="nil"/>
              <w:bottom w:val="single" w:color="auto" w:sz="4" w:space="0"/>
              <w:right w:val="single" w:color="auto" w:sz="4" w:space="0"/>
            </w:tcBorders>
            <w:vAlign w:val="center"/>
          </w:tcPr>
          <w:p w14:paraId="75B7E061">
            <w:pPr>
              <w:widowControl/>
              <w:spacing w:line="360" w:lineRule="auto"/>
              <w:ind w:firstLine="0" w:firstLineChars="0"/>
              <w:jc w:val="center"/>
              <w:rPr>
                <w:rFonts w:hint="eastAsia" w:ascii="仿宋_GB2312" w:hAnsi="仿宋_GB2312" w:cs="仿宋_GB2312"/>
                <w:sz w:val="20"/>
                <w:szCs w:val="20"/>
                <w:lang w:bidi="ar"/>
              </w:rPr>
            </w:pPr>
            <w:r>
              <w:rPr>
                <w:rFonts w:hint="eastAsia" w:ascii="仿宋_GB2312" w:hAnsi="仿宋_GB2312" w:cs="仿宋_GB2312"/>
                <w:sz w:val="20"/>
                <w:szCs w:val="20"/>
                <w:lang w:bidi="ar"/>
              </w:rPr>
              <w:t>提升主机整体安全性的服务，提供资产管理、基线检查、入侵检测、主机漏洞扫描及修复建议等功能。支持账户暴力破解、账户异常登录、恶意程序查杀、进程异常、关键文件变更、Webshel1、风险账户7大类入侵检测能力。全面识别并管理主机中的信息资产，24小时实时监测帮主机中的风险并阻止非法入侵行为。帮助构建服务器安全体系，降低当前服务器面临的主要安全风险。提供周报和月报包括但不限于主机安全服务周期内发现的异常事件及处置情况。</w:t>
            </w:r>
          </w:p>
        </w:tc>
      </w:tr>
    </w:tbl>
    <w:p w14:paraId="75B7E063">
      <w:pPr>
        <w:ind w:firstLine="480"/>
        <w:rPr>
          <w:rFonts w:hint="eastAsia"/>
        </w:rPr>
      </w:pPr>
    </w:p>
    <w:p w14:paraId="75B7E064">
      <w:pPr>
        <w:pStyle w:val="4"/>
        <w:rPr>
          <w:rFonts w:hint="eastAsia"/>
        </w:rPr>
      </w:pPr>
      <w:bookmarkStart w:id="169" w:name="_Toc1697"/>
      <w:r>
        <w:rPr>
          <w:rFonts w:hint="eastAsia"/>
        </w:rPr>
        <w:t>各层级安全建设内容</w:t>
      </w:r>
      <w:bookmarkEnd w:id="169"/>
    </w:p>
    <w:p w14:paraId="75B7E065">
      <w:pPr>
        <w:pStyle w:val="5"/>
      </w:pPr>
      <w:r>
        <w:rPr>
          <w:rFonts w:hint="eastAsia"/>
        </w:rPr>
        <w:t>前端设备安全层</w:t>
      </w:r>
    </w:p>
    <w:p w14:paraId="75B7E066">
      <w:pPr>
        <w:ind w:firstLine="480"/>
        <w:rPr>
          <w:rFonts w:hint="eastAsia"/>
        </w:rPr>
      </w:pPr>
      <w:r>
        <w:rPr>
          <w:rFonts w:hint="eastAsia"/>
        </w:rPr>
        <w:t xml:space="preserve">1. 物理安全防护  </w:t>
      </w:r>
    </w:p>
    <w:p w14:paraId="75B7E067">
      <w:pPr>
        <w:ind w:firstLine="480"/>
        <w:rPr>
          <w:rFonts w:hint="eastAsia"/>
        </w:rPr>
      </w:pPr>
      <w:r>
        <w:rPr>
          <w:rFonts w:hint="eastAsia"/>
        </w:rPr>
        <w:t xml:space="preserve">对新增及区县监控设备加装防暴外壳、防雨防雷装置，适配户外复杂环境（如湖边潮湿、多风区域），防止设备被人为破坏或自然因素损坏。  </w:t>
      </w:r>
    </w:p>
    <w:p w14:paraId="75B7E068">
      <w:pPr>
        <w:ind w:firstLine="480"/>
        <w:rPr>
          <w:rFonts w:hint="eastAsia"/>
        </w:rPr>
      </w:pPr>
      <w:r>
        <w:rPr>
          <w:rFonts w:hint="eastAsia"/>
        </w:rPr>
        <w:t xml:space="preserve">无人机及机库部署防盗报警装置，当发生非法移动、拆卸时触发本地声光报警，并同步推送预警信息至后端平台，确保设备物理安全。    </w:t>
      </w:r>
    </w:p>
    <w:p w14:paraId="75B7E069">
      <w:pPr>
        <w:pStyle w:val="5"/>
      </w:pPr>
      <w:r>
        <w:rPr>
          <w:rFonts w:hint="eastAsia"/>
        </w:rPr>
        <w:t>传输网络安全层</w:t>
      </w:r>
    </w:p>
    <w:p w14:paraId="75B7E06A">
      <w:pPr>
        <w:ind w:firstLine="480"/>
        <w:rPr>
          <w:rFonts w:hint="eastAsia"/>
        </w:rPr>
      </w:pPr>
      <w:r>
        <w:rPr>
          <w:rFonts w:hint="eastAsia"/>
        </w:rPr>
        <w:t xml:space="preserve">1. 网络边界防护  </w:t>
      </w:r>
    </w:p>
    <w:p w14:paraId="75B7E06B">
      <w:pPr>
        <w:ind w:firstLine="480"/>
        <w:rPr>
          <w:rFonts w:hint="eastAsia"/>
        </w:rPr>
      </w:pPr>
      <w:r>
        <w:rPr>
          <w:rFonts w:hint="eastAsia"/>
        </w:rPr>
        <w:t>前端设备通过数据专线与</w:t>
      </w:r>
      <w:r>
        <w:rPr>
          <w:rFonts w:hint="eastAsia"/>
          <w:lang w:val="en-US"/>
        </w:rPr>
        <w:t>软件提供商云</w:t>
      </w:r>
      <w:r>
        <w:rPr>
          <w:rFonts w:hint="eastAsia"/>
        </w:rPr>
        <w:t>平台外联区连接，可通过申请</w:t>
      </w:r>
      <w:r>
        <w:rPr>
          <w:rFonts w:hint="eastAsia"/>
          <w:lang w:val="en-US"/>
        </w:rPr>
        <w:t>软件提供商</w:t>
      </w:r>
      <w:r>
        <w:rPr>
          <w:rFonts w:hint="eastAsia"/>
        </w:rPr>
        <w:t xml:space="preserve">云平台网络策略，限制非法端口访问，仅开放视频传输、设备控制等必要端口，防范网络入侵。  </w:t>
      </w:r>
    </w:p>
    <w:p w14:paraId="75B7E06C">
      <w:pPr>
        <w:ind w:firstLine="480"/>
        <w:rPr>
          <w:rFonts w:hint="eastAsia"/>
        </w:rPr>
      </w:pPr>
      <w:r>
        <w:rPr>
          <w:rFonts w:hint="eastAsia"/>
        </w:rPr>
        <w:t xml:space="preserve">2. 传输加密与访问控制  </w:t>
      </w:r>
    </w:p>
    <w:p w14:paraId="75B7E06D">
      <w:pPr>
        <w:ind w:firstLine="480"/>
        <w:rPr>
          <w:rFonts w:hint="eastAsia"/>
        </w:rPr>
      </w:pPr>
      <w:r>
        <w:rPr>
          <w:rFonts w:hint="eastAsia"/>
        </w:rPr>
        <w:t xml:space="preserve">前端设备与后端平台的所有数据传输（包括视频流、预警信息、控制指令）采用SSL/TLS加密协议，保障数据完整性和机密性。  </w:t>
      </w:r>
    </w:p>
    <w:p w14:paraId="75B7E06E">
      <w:pPr>
        <w:pStyle w:val="5"/>
      </w:pPr>
      <w:r>
        <w:t>设备与计算安全</w:t>
      </w:r>
    </w:p>
    <w:p w14:paraId="75B7E06F">
      <w:pPr>
        <w:pStyle w:val="6"/>
        <w:ind w:firstLine="480"/>
        <w:rPr>
          <w:rFonts w:hint="eastAsia"/>
        </w:rPr>
      </w:pPr>
      <w:r>
        <w:rPr>
          <w:rFonts w:hint="eastAsia"/>
        </w:rPr>
        <w:t>主机与服务器安全</w:t>
      </w:r>
    </w:p>
    <w:p w14:paraId="75B7E070">
      <w:pPr>
        <w:pStyle w:val="162"/>
        <w:ind w:firstLine="480"/>
        <w:rPr>
          <w:rFonts w:hint="eastAsia"/>
        </w:rPr>
      </w:pPr>
      <w:r>
        <w:rPr>
          <w:rFonts w:hint="eastAsia"/>
          <w:lang w:val="en-US"/>
        </w:rPr>
        <w:t>软件提供商云</w:t>
      </w:r>
      <w:r>
        <w:rPr>
          <w:rFonts w:hint="eastAsia"/>
        </w:rPr>
        <w:t>部署平台复用</w:t>
      </w:r>
      <w:r>
        <w:rPr>
          <w:rFonts w:hint="eastAsia"/>
          <w:lang w:val="en-US"/>
        </w:rPr>
        <w:t>软件提供商</w:t>
      </w:r>
      <w:r>
        <w:rPr>
          <w:rFonts w:hint="eastAsia"/>
        </w:rPr>
        <w:t>云主机入侵防护软件（HIPS），实时监控进程异常、文件篡改行为，如检测到非授权加载可执行程序立即阻断并告警；</w:t>
      </w:r>
    </w:p>
    <w:p w14:paraId="75B7E071">
      <w:pPr>
        <w:pStyle w:val="162"/>
        <w:ind w:firstLine="480"/>
        <w:rPr>
          <w:rFonts w:hint="eastAsia"/>
        </w:rPr>
      </w:pPr>
      <w:r>
        <w:rPr>
          <w:rFonts w:hint="eastAsia"/>
        </w:rPr>
        <w:t>服务器日志（系统日志、操作日志）实时上传至</w:t>
      </w:r>
      <w:r>
        <w:rPr>
          <w:rFonts w:hint="eastAsia"/>
          <w:lang w:val="en-US"/>
        </w:rPr>
        <w:t>软件提供商</w:t>
      </w:r>
      <w:r>
        <w:rPr>
          <w:rFonts w:hint="eastAsia"/>
        </w:rPr>
        <w:t>云日志审计系统，留存≥6 个月。</w:t>
      </w:r>
    </w:p>
    <w:p w14:paraId="75B7E072">
      <w:pPr>
        <w:pStyle w:val="6"/>
        <w:ind w:firstLine="480"/>
        <w:rPr>
          <w:rFonts w:hint="eastAsia"/>
        </w:rPr>
      </w:pPr>
      <w:r>
        <w:rPr>
          <w:rFonts w:hint="eastAsia"/>
        </w:rPr>
        <w:t>数据库安全防护</w:t>
      </w:r>
    </w:p>
    <w:p w14:paraId="75B7E073">
      <w:pPr>
        <w:ind w:firstLine="480"/>
        <w:rPr>
          <w:rFonts w:hint="eastAsia"/>
        </w:rPr>
      </w:pPr>
      <w:r>
        <w:rPr>
          <w:rFonts w:hint="eastAsia"/>
        </w:rPr>
        <w:t>采用主从备份数据库架构，主库故障时 30 分钟内切换至从库，RPO≤15 分钟；</w:t>
      </w:r>
    </w:p>
    <w:p w14:paraId="75B7E074">
      <w:pPr>
        <w:ind w:firstLine="480"/>
        <w:rPr>
          <w:rFonts w:hint="eastAsia"/>
        </w:rPr>
      </w:pPr>
      <w:r>
        <w:rPr>
          <w:rFonts w:hint="eastAsia"/>
        </w:rPr>
        <w:t>启用数据库审计功能（</w:t>
      </w:r>
      <w:r>
        <w:rPr>
          <w:rFonts w:hint="eastAsia"/>
          <w:lang w:val="en-US"/>
        </w:rPr>
        <w:t>软件提供商云</w:t>
      </w:r>
      <w:r>
        <w:rPr>
          <w:rFonts w:hint="eastAsia"/>
        </w:rPr>
        <w:t>提供），记录所有数据库操作（登录、查询、修改），敏感操作需授权，审计日志不可篡改。</w:t>
      </w:r>
    </w:p>
    <w:p w14:paraId="75B7E075">
      <w:pPr>
        <w:pStyle w:val="6"/>
        <w:ind w:firstLine="480"/>
        <w:rPr>
          <w:rFonts w:hint="eastAsia"/>
        </w:rPr>
      </w:pPr>
      <w:r>
        <w:rPr>
          <w:rFonts w:hint="eastAsia"/>
        </w:rPr>
        <w:t>恶意代码防护</w:t>
      </w:r>
    </w:p>
    <w:p w14:paraId="75B7E076">
      <w:pPr>
        <w:ind w:firstLine="480"/>
        <w:rPr>
          <w:rFonts w:hint="eastAsia"/>
        </w:rPr>
      </w:pPr>
      <w:r>
        <w:rPr>
          <w:rFonts w:hint="eastAsia"/>
        </w:rPr>
        <w:t>复用</w:t>
      </w:r>
      <w:r>
        <w:rPr>
          <w:rFonts w:hint="eastAsia"/>
          <w:lang w:val="en-US"/>
        </w:rPr>
        <w:t>软件提供商云</w:t>
      </w:r>
      <w:r>
        <w:rPr>
          <w:rFonts w:hint="eastAsia"/>
        </w:rPr>
        <w:t>恶意代码集中管理系统，对服务器、执法终端（移动APP）实施统一查杀，服务器端每日自动扫描，终端端实时防护；</w:t>
      </w:r>
    </w:p>
    <w:p w14:paraId="75B7E077">
      <w:pPr>
        <w:ind w:firstLine="480"/>
        <w:rPr>
          <w:rFonts w:hint="eastAsia"/>
        </w:rPr>
      </w:pPr>
      <w:r>
        <w:rPr>
          <w:rFonts w:hint="eastAsia"/>
        </w:rPr>
        <w:t>禁止前端设备、服务器安装非授权软件，移动执法 APP 仅允许从</w:t>
      </w:r>
      <w:r>
        <w:rPr>
          <w:rFonts w:hint="eastAsia"/>
          <w:lang w:val="en-US"/>
        </w:rPr>
        <w:t>软件提供商云</w:t>
      </w:r>
      <w:r>
        <w:rPr>
          <w:rFonts w:hint="eastAsia"/>
        </w:rPr>
        <w:t>可信分发渠道下载，防止恶意代码植入。</w:t>
      </w:r>
    </w:p>
    <w:p w14:paraId="75B7E078">
      <w:pPr>
        <w:pStyle w:val="5"/>
      </w:pPr>
      <w:r>
        <w:rPr>
          <w:rFonts w:hint="eastAsia"/>
        </w:rPr>
        <w:t>应用与数据安全层</w:t>
      </w:r>
    </w:p>
    <w:p w14:paraId="75B7E079">
      <w:pPr>
        <w:pStyle w:val="6"/>
        <w:ind w:firstLine="480"/>
        <w:rPr>
          <w:rFonts w:hint="eastAsia"/>
        </w:rPr>
      </w:pPr>
      <w:r>
        <w:rPr>
          <w:rFonts w:hint="eastAsia"/>
        </w:rPr>
        <w:t>应用系统安全</w:t>
      </w:r>
    </w:p>
    <w:p w14:paraId="75B7E07A">
      <w:pPr>
        <w:ind w:firstLine="480"/>
        <w:rPr>
          <w:rFonts w:hint="eastAsia"/>
        </w:rPr>
      </w:pPr>
      <w:r>
        <w:t>用户访问</w:t>
      </w:r>
      <w:r>
        <w:rPr>
          <w:rFonts w:hint="eastAsia"/>
        </w:rPr>
        <w:t>平台</w:t>
      </w:r>
      <w:r>
        <w:t>需通过身份认证（</w:t>
      </w:r>
      <w:r>
        <w:rPr>
          <w:rFonts w:hint="eastAsia"/>
        </w:rPr>
        <w:t>账号</w:t>
      </w:r>
      <w:r>
        <w:t>+</w:t>
      </w:r>
      <w:r>
        <w:rPr>
          <w:rFonts w:hint="eastAsia"/>
        </w:rPr>
        <w:t>密码+</w:t>
      </w:r>
      <w:r>
        <w:t>动态验证码），按 “市 - 县 - 乡” 三级权限划分操作范围，如乡镇网格员仅可查看本辖区</w:t>
      </w:r>
      <w:r>
        <w:rPr>
          <w:rFonts w:hint="eastAsia"/>
        </w:rPr>
        <w:t>事件</w:t>
      </w:r>
      <w:r>
        <w:t>数据；</w:t>
      </w:r>
    </w:p>
    <w:p w14:paraId="75B7E07B">
      <w:pPr>
        <w:ind w:firstLine="480"/>
        <w:rPr>
          <w:rFonts w:hint="eastAsia"/>
        </w:rPr>
      </w:pPr>
      <w:r>
        <w:t>平台定期开展漏洞扫描与渗透测试（重点检测 API 接口、登录功能，发现漏洞 72 小时内修复，修复率 100%。</w:t>
      </w:r>
    </w:p>
    <w:p w14:paraId="75B7E07C">
      <w:pPr>
        <w:pStyle w:val="6"/>
        <w:ind w:firstLine="480"/>
        <w:rPr>
          <w:rFonts w:hint="eastAsia"/>
        </w:rPr>
      </w:pPr>
      <w:r>
        <w:t>数据全生命周期安全</w:t>
      </w:r>
    </w:p>
    <w:p w14:paraId="75B7E07D">
      <w:pPr>
        <w:ind w:firstLine="480"/>
        <w:rPr>
          <w:rFonts w:hint="eastAsia"/>
        </w:rPr>
      </w:pPr>
      <w:r>
        <w:t>数据采集：采用国标协议（GB/T 28181）接入监控数据，采集个人信息（如执法对象身份）时明确告知用途，禁止采集与业务无关信息；</w:t>
      </w:r>
    </w:p>
    <w:p w14:paraId="75B7E07E">
      <w:pPr>
        <w:ind w:firstLine="480"/>
        <w:rPr>
          <w:rFonts w:hint="eastAsia"/>
        </w:rPr>
      </w:pPr>
      <w:r>
        <w:t>数据存储：核心业务数据采用SM4加密存储</w:t>
      </w:r>
      <w:r>
        <w:rPr>
          <w:rFonts w:hint="eastAsia"/>
        </w:rPr>
        <w:t>（复用</w:t>
      </w:r>
      <w:r>
        <w:rPr>
          <w:rFonts w:hint="eastAsia"/>
          <w:lang w:val="en-US"/>
        </w:rPr>
        <w:t>软件提供商云</w:t>
      </w:r>
      <w:r>
        <w:rPr>
          <w:rFonts w:hint="eastAsia"/>
        </w:rPr>
        <w:t>）</w:t>
      </w:r>
      <w:r>
        <w:t>，视频数据（重点区域 90 天、一般区域 30 天）存储于</w:t>
      </w:r>
      <w:r>
        <w:rPr>
          <w:rFonts w:hint="eastAsia"/>
          <w:lang w:val="en-US"/>
        </w:rPr>
        <w:t>软件提供商云</w:t>
      </w:r>
      <w:r>
        <w:t>加密存储区，支持 RAID5 冗余；</w:t>
      </w:r>
    </w:p>
    <w:p w14:paraId="75B7E07F">
      <w:pPr>
        <w:ind w:firstLine="480"/>
        <w:rPr>
          <w:rFonts w:hint="eastAsia"/>
        </w:rPr>
      </w:pPr>
      <w:r>
        <w:t>数据销毁：过期数据采用 “逻辑删除 + 物理覆盖” 方式销毁，销毁过程记录留存≥</w:t>
      </w:r>
      <w:r>
        <w:rPr>
          <w:rFonts w:hint="eastAsia"/>
        </w:rPr>
        <w:t>1</w:t>
      </w:r>
      <w:r>
        <w:t>年。</w:t>
      </w:r>
    </w:p>
    <w:p w14:paraId="75B7E080">
      <w:pPr>
        <w:pStyle w:val="6"/>
        <w:ind w:firstLine="480"/>
        <w:rPr>
          <w:rFonts w:hint="eastAsia"/>
        </w:rPr>
      </w:pPr>
      <w:r>
        <w:t>个人信息保护</w:t>
      </w:r>
    </w:p>
    <w:p w14:paraId="75B7E081">
      <w:pPr>
        <w:ind w:firstLine="480"/>
        <w:rPr>
          <w:rFonts w:hint="eastAsia"/>
        </w:rPr>
      </w:pPr>
      <w:r>
        <w:rPr>
          <w:rFonts w:hint="eastAsia"/>
        </w:rPr>
        <w:t>巡护</w:t>
      </w:r>
      <w:r>
        <w:t xml:space="preserve"> APP 隐私政策在启动页弹窗展示，明确收集个人信息（如位置信息用于执法定位）的目的、方式，用户不同意则无法使用核心功能；</w:t>
      </w:r>
    </w:p>
    <w:p w14:paraId="75B7E082">
      <w:pPr>
        <w:ind w:firstLine="480"/>
        <w:rPr>
          <w:rFonts w:hint="eastAsia"/>
        </w:rPr>
      </w:pPr>
      <w:r>
        <w:t>提供个人信息更正、删除、账号注销功能，用户申请后 7 个工作日内完成处理，处理结果同步告知用户。</w:t>
      </w:r>
    </w:p>
    <w:p w14:paraId="75B7E083">
      <w:pPr>
        <w:pStyle w:val="6"/>
        <w:ind w:firstLine="480"/>
        <w:rPr>
          <w:rFonts w:hint="eastAsia"/>
        </w:rPr>
      </w:pPr>
      <w:r>
        <w:rPr>
          <w:rFonts w:hint="eastAsia"/>
        </w:rPr>
        <w:t xml:space="preserve">数据存储安全  </w:t>
      </w:r>
    </w:p>
    <w:p w14:paraId="75B7E084">
      <w:pPr>
        <w:ind w:firstLine="480"/>
        <w:rPr>
          <w:rFonts w:hint="eastAsia"/>
        </w:rPr>
      </w:pPr>
      <w:r>
        <w:rPr>
          <w:rFonts w:hint="eastAsia"/>
        </w:rPr>
        <w:t xml:space="preserve">平台数据（实时视频、历史录像、预警记录、事件信息）存储于加密存储区域，采用磁盘阵列冗余备份技术，防止数据丢失。 </w:t>
      </w:r>
    </w:p>
    <w:p w14:paraId="75B7E085">
      <w:pPr>
        <w:pStyle w:val="6"/>
        <w:ind w:firstLine="480"/>
        <w:rPr>
          <w:rFonts w:hint="eastAsia"/>
        </w:rPr>
      </w:pPr>
      <w:r>
        <w:rPr>
          <w:rFonts w:hint="eastAsia"/>
        </w:rPr>
        <w:t xml:space="preserve">数据流转安全  </w:t>
      </w:r>
    </w:p>
    <w:p w14:paraId="75B7E086">
      <w:pPr>
        <w:ind w:firstLine="480"/>
        <w:rPr>
          <w:rFonts w:hint="eastAsia"/>
        </w:rPr>
      </w:pPr>
      <w:r>
        <w:rPr>
          <w:rFonts w:hint="eastAsia"/>
        </w:rPr>
        <w:t xml:space="preserve">对平台内数据操作（如录像调阅、事件记录修改）进行日志记录，包括操作人、时间、内容等信息，确保数据流转可追溯。  </w:t>
      </w:r>
    </w:p>
    <w:p w14:paraId="75B7E087">
      <w:pPr>
        <w:pStyle w:val="5"/>
      </w:pPr>
      <w:r>
        <w:rPr>
          <w:rFonts w:hint="eastAsia"/>
        </w:rPr>
        <w:t>应用平台安全层</w:t>
      </w:r>
    </w:p>
    <w:p w14:paraId="75B7E088">
      <w:pPr>
        <w:ind w:firstLine="480"/>
        <w:rPr>
          <w:rFonts w:hint="eastAsia"/>
        </w:rPr>
      </w:pPr>
      <w:r>
        <w:rPr>
          <w:rFonts w:hint="eastAsia"/>
        </w:rPr>
        <w:t xml:space="preserve">1. 平台访问安全  </w:t>
      </w:r>
    </w:p>
    <w:p w14:paraId="75B7E089">
      <w:pPr>
        <w:ind w:firstLine="480"/>
        <w:rPr>
          <w:rFonts w:hint="eastAsia"/>
        </w:rPr>
      </w:pPr>
      <w:r>
        <w:rPr>
          <w:rFonts w:hint="eastAsia"/>
        </w:rPr>
        <w:t xml:space="preserve">平台登录采用强身份认证机制。  </w:t>
      </w:r>
    </w:p>
    <w:p w14:paraId="75B7E08A">
      <w:pPr>
        <w:ind w:firstLine="480"/>
        <w:rPr>
          <w:rFonts w:hint="eastAsia"/>
        </w:rPr>
      </w:pPr>
      <w:r>
        <w:rPr>
          <w:rFonts w:hint="eastAsia"/>
          <w:highlight w:val="none"/>
        </w:rPr>
        <w:t>限制平台登录IP地址范围。</w:t>
      </w:r>
      <w:r>
        <w:rPr>
          <w:rFonts w:hint="eastAsia"/>
        </w:rPr>
        <w:t xml:space="preserve">  </w:t>
      </w:r>
    </w:p>
    <w:p w14:paraId="75B7E08B">
      <w:pPr>
        <w:ind w:firstLine="480"/>
        <w:rPr>
          <w:rFonts w:hint="eastAsia"/>
        </w:rPr>
      </w:pPr>
      <w:r>
        <w:rPr>
          <w:rFonts w:hint="eastAsia"/>
        </w:rPr>
        <w:t xml:space="preserve">2. 应用功能安全  </w:t>
      </w:r>
    </w:p>
    <w:p w14:paraId="75B7E08C">
      <w:pPr>
        <w:ind w:firstLine="480"/>
        <w:rPr>
          <w:rFonts w:hint="eastAsia"/>
        </w:rPr>
      </w:pPr>
      <w:r>
        <w:rPr>
          <w:rFonts w:hint="eastAsia"/>
        </w:rPr>
        <w:t xml:space="preserve">对平台AI预警推送功能设置权限分级，不同片区执法人员仅能接收本辖区预警信息，防止跨区域信息泄露。  </w:t>
      </w:r>
    </w:p>
    <w:p w14:paraId="75B7E08D">
      <w:pPr>
        <w:ind w:firstLine="480"/>
        <w:rPr>
          <w:rFonts w:hint="eastAsia"/>
        </w:rPr>
      </w:pPr>
      <w:r>
        <w:rPr>
          <w:rFonts w:hint="eastAsia"/>
        </w:rPr>
        <w:t xml:space="preserve">定期对平台进行漏洞扫描和渗透测试，修复SQL注入、跨站脚本等潜在安全漏洞，确保应用功能稳定运行。  </w:t>
      </w:r>
    </w:p>
    <w:p w14:paraId="75B7E08E">
      <w:pPr>
        <w:pStyle w:val="4"/>
        <w:rPr>
          <w:rFonts w:hint="eastAsia"/>
        </w:rPr>
      </w:pPr>
      <w:bookmarkStart w:id="170" w:name="_Toc23458"/>
      <w:r>
        <w:rPr>
          <w:rFonts w:hint="eastAsia"/>
        </w:rPr>
        <w:t>安全管理机制</w:t>
      </w:r>
      <w:bookmarkEnd w:id="170"/>
    </w:p>
    <w:p w14:paraId="75B7E08F">
      <w:pPr>
        <w:ind w:firstLine="480"/>
        <w:rPr>
          <w:rFonts w:hint="eastAsia"/>
        </w:rPr>
      </w:pPr>
      <w:r>
        <w:rPr>
          <w:rFonts w:hint="eastAsia"/>
        </w:rPr>
        <w:t xml:space="preserve">1. 安全责任机制  </w:t>
      </w:r>
    </w:p>
    <w:p w14:paraId="75B7E090">
      <w:pPr>
        <w:ind w:firstLine="480"/>
        <w:rPr>
          <w:rFonts w:hint="eastAsia"/>
        </w:rPr>
      </w:pPr>
      <w:r>
        <w:rPr>
          <w:rFonts w:hint="eastAsia"/>
        </w:rPr>
        <w:t xml:space="preserve">明确市林业局为安全管理主体，下设专职安全管理员，负责日常安全巡检、风险研判、应急处置等工作，区县平台同步配备安全联络员，形成“市级统筹、区县协同”的安全管理体系。  </w:t>
      </w:r>
    </w:p>
    <w:p w14:paraId="75B7E091">
      <w:pPr>
        <w:ind w:firstLine="480"/>
        <w:rPr>
          <w:rFonts w:hint="eastAsia"/>
        </w:rPr>
      </w:pPr>
      <w:r>
        <w:rPr>
          <w:rFonts w:hint="eastAsia"/>
        </w:rPr>
        <w:t xml:space="preserve">2. 应急响应机制  </w:t>
      </w:r>
    </w:p>
    <w:p w14:paraId="75B7E092">
      <w:pPr>
        <w:ind w:firstLine="480"/>
        <w:rPr>
          <w:rFonts w:hint="eastAsia"/>
        </w:rPr>
      </w:pPr>
      <w:r>
        <w:rPr>
          <w:rFonts w:hint="eastAsia"/>
        </w:rPr>
        <w:t xml:space="preserve">制定设备故障、网络中断、数据泄露等突发事件应急预案，明确响应流程（如故障上报、应急抢修、数据恢复），定期开展应急演练（每季度至少1次），确保突发事件快速处置。  </w:t>
      </w:r>
    </w:p>
    <w:p w14:paraId="75B7E093">
      <w:pPr>
        <w:ind w:firstLine="480"/>
        <w:rPr>
          <w:rFonts w:hint="eastAsia"/>
        </w:rPr>
      </w:pPr>
      <w:r>
        <w:rPr>
          <w:rFonts w:hint="eastAsia"/>
        </w:rPr>
        <w:t xml:space="preserve">3. 定期巡检机制  </w:t>
      </w:r>
    </w:p>
    <w:p w14:paraId="75B7E094">
      <w:pPr>
        <w:ind w:firstLine="480"/>
        <w:rPr>
          <w:rFonts w:hint="eastAsia"/>
        </w:rPr>
      </w:pPr>
      <w:r>
        <w:rPr>
          <w:rFonts w:hint="eastAsia"/>
        </w:rPr>
        <w:t xml:space="preserve">每周对前端设备物理安全状态（如防护外壳完整性、报警装置有效性）进行现场巡检；每月对网络传输加密状态、平台漏洞情况进行技术检测，形成巡检报告并跟踪整改问题。  </w:t>
      </w:r>
    </w:p>
    <w:p w14:paraId="75B7E095">
      <w:pPr>
        <w:pStyle w:val="4"/>
        <w:rPr>
          <w:rFonts w:hint="eastAsia"/>
        </w:rPr>
      </w:pPr>
      <w:bookmarkStart w:id="171" w:name="_Toc8433"/>
      <w:r>
        <w:rPr>
          <w:rFonts w:hint="eastAsia"/>
        </w:rPr>
        <w:t>安全合规要求</w:t>
      </w:r>
      <w:bookmarkEnd w:id="171"/>
    </w:p>
    <w:p w14:paraId="75B7E096">
      <w:pPr>
        <w:ind w:firstLine="480"/>
        <w:rPr>
          <w:rFonts w:hint="eastAsia"/>
        </w:rPr>
      </w:pPr>
      <w:r>
        <w:rPr>
          <w:rFonts w:hint="eastAsia"/>
        </w:rPr>
        <w:t xml:space="preserve">1. 符合《信息安全技术 网络安全等级保护基本要求》（GB/T 22239）三级及以上标准，确保平台及数据安全合规。  </w:t>
      </w:r>
    </w:p>
    <w:p w14:paraId="75B7E097">
      <w:pPr>
        <w:ind w:firstLine="480"/>
        <w:rPr>
          <w:rFonts w:hint="eastAsia"/>
        </w:rPr>
      </w:pPr>
      <w:r>
        <w:rPr>
          <w:rFonts w:hint="eastAsia"/>
        </w:rPr>
        <w:t xml:space="preserve">2. 人脸、车辆等敏感数据采集与应用严格遵循《个人信息保护法》，仅用于森林防火综合调度目的，不得擅自用于其他场景。 </w:t>
      </w:r>
    </w:p>
    <w:p w14:paraId="75B7E098">
      <w:pPr>
        <w:ind w:firstLine="480"/>
        <w:rPr>
          <w:rFonts w:hint="eastAsia" w:eastAsia="仿宋_GB2312"/>
          <w:lang w:eastAsia="zh-CN"/>
        </w:rPr>
      </w:pPr>
      <w:r>
        <w:rPr>
          <w:rFonts w:hint="eastAsia"/>
        </w:rPr>
        <w:t>3.</w:t>
      </w:r>
      <w:r>
        <w:t>等级保护合规：项目建成后 3 个月内完成网络安全等级保护三级测评，测评内容覆盖技术防护（网络、主机、应用、数据）与管理体系，测评合格后获取等级保护备案证明</w:t>
      </w:r>
      <w:r>
        <w:rPr>
          <w:rFonts w:hint="eastAsia"/>
          <w:lang w:eastAsia="zh-CN"/>
        </w:rPr>
        <w:t>。</w:t>
      </w:r>
    </w:p>
    <w:p w14:paraId="75B7E099">
      <w:pPr>
        <w:ind w:firstLine="480"/>
        <w:rPr>
          <w:rFonts w:hint="eastAsia" w:eastAsia="仿宋_GB2312"/>
          <w:lang w:eastAsia="zh-CN"/>
        </w:rPr>
      </w:pPr>
      <w:r>
        <w:rPr>
          <w:rFonts w:hint="eastAsia"/>
        </w:rPr>
        <w:t>4.</w:t>
      </w:r>
      <w:r>
        <w:t>密码应用合规：商用密码产品均选用国家密码管理局认定产品，密码应用方案通过省密码管理局备案，每年开展 1 次 CAE 评估，确保合规性</w:t>
      </w:r>
      <w:r>
        <w:rPr>
          <w:rFonts w:hint="eastAsia"/>
          <w:lang w:eastAsia="zh-CN"/>
        </w:rPr>
        <w:t>。</w:t>
      </w:r>
    </w:p>
    <w:p w14:paraId="75B7E09A">
      <w:pPr>
        <w:ind w:firstLine="480"/>
        <w:rPr>
          <w:rFonts w:hint="eastAsia"/>
        </w:rPr>
      </w:pPr>
      <w:r>
        <w:rPr>
          <w:rFonts w:hint="eastAsia"/>
        </w:rPr>
        <w:t>5.</w:t>
      </w:r>
      <w:r>
        <w:t>持续合规监控：建立安全合规监控机制，每月核查安全措施有效性，每季度更新安全管理制度，确保项目长期符合《审查制度》及国家相关法规要求。</w:t>
      </w:r>
    </w:p>
    <w:p w14:paraId="75B7E09B">
      <w:pPr>
        <w:pStyle w:val="4"/>
        <w:rPr>
          <w:rFonts w:hint="eastAsia"/>
        </w:rPr>
      </w:pPr>
      <w:bookmarkStart w:id="172" w:name="_Toc24773"/>
      <w:r>
        <w:rPr>
          <w:rFonts w:hint="eastAsia"/>
        </w:rPr>
        <w:t>代码开发安全</w:t>
      </w:r>
      <w:bookmarkEnd w:id="172"/>
      <w:r>
        <w:rPr>
          <w:rFonts w:hint="eastAsia"/>
        </w:rPr>
        <w:t xml:space="preserve"> </w:t>
      </w:r>
    </w:p>
    <w:p w14:paraId="75B7E09C">
      <w:pPr>
        <w:pStyle w:val="5"/>
      </w:pPr>
      <w:r>
        <w:rPr>
          <w:rFonts w:hint="eastAsia"/>
        </w:rPr>
        <w:t>开发流程与规范安全</w:t>
      </w:r>
    </w:p>
    <w:p w14:paraId="75B7E09D">
      <w:pPr>
        <w:ind w:firstLine="480"/>
        <w:rPr>
          <w:rFonts w:hint="eastAsia"/>
        </w:rPr>
      </w:pPr>
      <w:r>
        <w:rPr>
          <w:rFonts w:hint="eastAsia"/>
        </w:rPr>
        <w:t>建立安全开发生命周期（SDL）</w:t>
      </w:r>
    </w:p>
    <w:p w14:paraId="75B7E09E">
      <w:pPr>
        <w:ind w:firstLine="480"/>
        <w:rPr>
          <w:rFonts w:hint="eastAsia"/>
        </w:rPr>
      </w:pPr>
      <w:r>
        <w:rPr>
          <w:rFonts w:hint="eastAsia"/>
        </w:rPr>
        <w:t>明确 “需求分析→设计→编码→测试→部署→运维” 全流程的安全节点：需求阶段需识别敏感数据的处理场景；设计阶段采用最小权限原则；编码阶段禁用危险函数。</w:t>
      </w:r>
    </w:p>
    <w:p w14:paraId="75B7E09F">
      <w:pPr>
        <w:ind w:firstLine="480"/>
        <w:rPr>
          <w:rFonts w:hint="eastAsia"/>
        </w:rPr>
      </w:pPr>
      <w:r>
        <w:rPr>
          <w:rFonts w:hint="eastAsia"/>
        </w:rPr>
        <w:t>引入“双轨制评审”：业务功能评审同时需通过安全评审，重点核查数据加密逻辑、身份认证机制是否符合国密标准与等保要求。</w:t>
      </w:r>
    </w:p>
    <w:p w14:paraId="75B7E0A0">
      <w:pPr>
        <w:pStyle w:val="5"/>
      </w:pPr>
      <w:r>
        <w:rPr>
          <w:rFonts w:hint="eastAsia"/>
        </w:rPr>
        <w:t>编码安全与漏洞防控</w:t>
      </w:r>
    </w:p>
    <w:p w14:paraId="75B7E0A1">
      <w:pPr>
        <w:ind w:firstLine="480"/>
        <w:rPr>
          <w:rFonts w:hint="eastAsia"/>
        </w:rPr>
      </w:pPr>
      <w:r>
        <w:rPr>
          <w:rFonts w:hint="eastAsia"/>
        </w:rPr>
        <w:t>制定编码安全规范</w:t>
      </w:r>
    </w:p>
    <w:p w14:paraId="75B7E0A2">
      <w:pPr>
        <w:ind w:firstLine="480"/>
        <w:rPr>
          <w:rFonts w:hint="eastAsia"/>
        </w:rPr>
      </w:pPr>
      <w:r>
        <w:rPr>
          <w:rFonts w:hint="eastAsia"/>
        </w:rPr>
        <w:t>针对项目涉及的开发语言，制定《综合执法平台编码安全手册》：</w:t>
      </w:r>
    </w:p>
    <w:p w14:paraId="75B7E0A3">
      <w:pPr>
        <w:ind w:firstLine="480"/>
        <w:rPr>
          <w:rFonts w:hint="eastAsia"/>
        </w:rPr>
      </w:pPr>
      <w:r>
        <w:rPr>
          <w:rFonts w:hint="eastAsia"/>
        </w:rPr>
        <w:t>后端：强制使用参数化查询、输入验证、会话管理；</w:t>
      </w:r>
    </w:p>
    <w:p w14:paraId="75B7E0A4">
      <w:pPr>
        <w:ind w:firstLine="480"/>
        <w:rPr>
          <w:rFonts w:hint="eastAsia"/>
        </w:rPr>
      </w:pPr>
      <w:r>
        <w:rPr>
          <w:rFonts w:hint="eastAsia"/>
        </w:rPr>
        <w:t>前端：禁用eval()等危险函数，敏感数据在前端展示时脱敏；</w:t>
      </w:r>
    </w:p>
    <w:p w14:paraId="75B7E0A5">
      <w:pPr>
        <w:ind w:firstLine="480"/>
        <w:rPr>
          <w:rFonts w:hint="eastAsia"/>
        </w:rPr>
      </w:pPr>
      <w:r>
        <w:rPr>
          <w:rFonts w:hint="eastAsia"/>
        </w:rPr>
        <w:t>移动端（执法 APP）：禁止硬编码密钥，采用动态密钥协商机制。</w:t>
      </w:r>
    </w:p>
    <w:p w14:paraId="75B7E0A6">
      <w:pPr>
        <w:ind w:firstLine="480"/>
        <w:rPr>
          <w:rFonts w:hint="eastAsia"/>
        </w:rPr>
      </w:pPr>
      <w:r>
        <w:rPr>
          <w:rFonts w:hint="eastAsia"/>
        </w:rPr>
        <w:t>第三方组件安全管控</w:t>
      </w:r>
    </w:p>
    <w:p w14:paraId="75B7E0A7">
      <w:pPr>
        <w:ind w:firstLine="480"/>
        <w:rPr>
          <w:rFonts w:hint="eastAsia"/>
        </w:rPr>
      </w:pPr>
      <w:r>
        <w:rPr>
          <w:rFonts w:hint="eastAsia"/>
        </w:rPr>
        <w:t>建立 “组件白名单”：仅允许使用经国产化适配认证的组件，禁止引入无开源许可或高风险组件；</w:t>
      </w:r>
    </w:p>
    <w:p w14:paraId="75B7E0A8">
      <w:pPr>
        <w:ind w:firstLine="480"/>
        <w:rPr>
          <w:rFonts w:hint="eastAsia"/>
        </w:rPr>
      </w:pPr>
      <w:r>
        <w:rPr>
          <w:rFonts w:hint="eastAsia"/>
        </w:rPr>
        <w:t>集成组件扫描工具，在代码提交时自动检测组件漏洞，高危漏洞需修复后才能合并代码。</w:t>
      </w:r>
    </w:p>
    <w:p w14:paraId="75B7E0A9">
      <w:pPr>
        <w:pStyle w:val="5"/>
      </w:pPr>
      <w:r>
        <w:rPr>
          <w:rFonts w:hint="eastAsia"/>
        </w:rPr>
        <w:t>安全测试与审计</w:t>
      </w:r>
    </w:p>
    <w:p w14:paraId="75B7E0AA">
      <w:pPr>
        <w:ind w:firstLine="480"/>
        <w:rPr>
          <w:rFonts w:hint="eastAsia"/>
        </w:rPr>
      </w:pPr>
      <w:r>
        <w:rPr>
          <w:rFonts w:hint="eastAsia"/>
        </w:rPr>
        <w:t>开发阶段嵌入安全测试</w:t>
      </w:r>
    </w:p>
    <w:p w14:paraId="75B7E0AB">
      <w:pPr>
        <w:ind w:firstLine="480"/>
        <w:rPr>
          <w:rFonts w:hint="eastAsia"/>
        </w:rPr>
      </w:pPr>
      <w:r>
        <w:rPr>
          <w:rFonts w:hint="eastAsia"/>
        </w:rPr>
        <w:t>单元测试：强制加入安全用例；</w:t>
      </w:r>
    </w:p>
    <w:p w14:paraId="75B7E0AC">
      <w:pPr>
        <w:ind w:firstLine="480"/>
        <w:rPr>
          <w:rFonts w:hint="eastAsia"/>
        </w:rPr>
      </w:pPr>
      <w:r>
        <w:rPr>
          <w:rFonts w:hint="eastAsia"/>
        </w:rPr>
        <w:t>集成测试：通过自动化工具进行黑盒渗透测试，重点检测 API 接口、登录功能、数据传输环节的漏洞；</w:t>
      </w:r>
    </w:p>
    <w:p w14:paraId="75B7E0AD">
      <w:pPr>
        <w:ind w:firstLine="480"/>
        <w:rPr>
          <w:rFonts w:hint="eastAsia"/>
        </w:rPr>
      </w:pPr>
      <w:r>
        <w:rPr>
          <w:rFonts w:hint="eastAsia"/>
        </w:rPr>
        <w:t>国产化适配测试：验证代码在国产操作系统、数据库上的兼容性，避免因适配问题导致的安全逻辑失效。</w:t>
      </w:r>
    </w:p>
    <w:p w14:paraId="75B7E0AE">
      <w:pPr>
        <w:ind w:firstLine="480"/>
        <w:rPr>
          <w:rFonts w:hint="eastAsia"/>
        </w:rPr>
      </w:pPr>
      <w:r>
        <w:rPr>
          <w:rFonts w:hint="eastAsia"/>
        </w:rPr>
        <w:t>代码审计机制</w:t>
      </w:r>
    </w:p>
    <w:p w14:paraId="75B7E0AF">
      <w:pPr>
        <w:ind w:firstLine="480"/>
        <w:rPr>
          <w:rFonts w:hint="eastAsia"/>
        </w:rPr>
      </w:pPr>
      <w:r>
        <w:rPr>
          <w:rFonts w:hint="eastAsia"/>
        </w:rPr>
        <w:t>人工审计：核心模块需由安全工程师进行代码走查，重点核查加密逻辑、权限控制的实现；</w:t>
      </w:r>
    </w:p>
    <w:p w14:paraId="75B7E0B0">
      <w:pPr>
        <w:pStyle w:val="5"/>
      </w:pPr>
      <w:r>
        <w:rPr>
          <w:rFonts w:hint="eastAsia"/>
        </w:rPr>
        <w:t>版本与配置管理安全</w:t>
      </w:r>
    </w:p>
    <w:p w14:paraId="75B7E0B1">
      <w:pPr>
        <w:ind w:firstLine="480"/>
        <w:rPr>
          <w:rFonts w:hint="eastAsia"/>
        </w:rPr>
      </w:pPr>
      <w:r>
        <w:rPr>
          <w:rFonts w:hint="eastAsia"/>
        </w:rPr>
        <w:t>代码版本安全控制</w:t>
      </w:r>
    </w:p>
    <w:p w14:paraId="75B7E0B2">
      <w:pPr>
        <w:ind w:firstLine="480"/>
        <w:rPr>
          <w:rFonts w:hint="eastAsia"/>
        </w:rPr>
      </w:pPr>
      <w:r>
        <w:rPr>
          <w:rFonts w:hint="eastAsia"/>
        </w:rPr>
        <w:t>分支管理：采用 “主分支 + 开发分支 + 发布分支” 模式，主分支仅允许合并经安全测试通过的代码，发布分支需经审批；</w:t>
      </w:r>
    </w:p>
    <w:p w14:paraId="75B7E0B3">
      <w:pPr>
        <w:ind w:firstLine="480"/>
        <w:rPr>
          <w:rFonts w:hint="eastAsia"/>
        </w:rPr>
      </w:pPr>
      <w:r>
        <w:rPr>
          <w:rFonts w:hint="eastAsia"/>
        </w:rPr>
        <w:t>代码备份：每日自动备份代码仓库，备份文件采用 SM4 加密存储，与开发环境物理隔离，防止代码泄露或篡改。</w:t>
      </w:r>
    </w:p>
    <w:p w14:paraId="75B7E0B4">
      <w:pPr>
        <w:ind w:firstLine="480"/>
        <w:rPr>
          <w:rFonts w:hint="eastAsia"/>
        </w:rPr>
      </w:pPr>
      <w:r>
        <w:rPr>
          <w:rFonts w:hint="eastAsia"/>
        </w:rPr>
        <w:t>配置文件安全管理</w:t>
      </w:r>
    </w:p>
    <w:p w14:paraId="75B7E0B5">
      <w:pPr>
        <w:ind w:firstLine="480"/>
        <w:rPr>
          <w:rFonts w:hint="eastAsia"/>
        </w:rPr>
      </w:pPr>
      <w:r>
        <w:rPr>
          <w:rFonts w:hint="eastAsia"/>
        </w:rPr>
        <w:t>敏感配置与代码分离，存储在国产化密钥管理系统中，代码运行时动态调用；</w:t>
      </w:r>
    </w:p>
    <w:p w14:paraId="75B7E0B6">
      <w:pPr>
        <w:ind w:firstLine="480"/>
        <w:rPr>
          <w:rFonts w:hint="eastAsia"/>
        </w:rPr>
      </w:pPr>
      <w:r>
        <w:rPr>
          <w:rFonts w:hint="eastAsia"/>
        </w:rPr>
        <w:t>配置文件版本化管理，修改记录纳入审计日志，禁止通过代码提交直接修改敏感配置。</w:t>
      </w:r>
    </w:p>
    <w:p w14:paraId="75B7E0B7">
      <w:pPr>
        <w:pStyle w:val="5"/>
      </w:pPr>
      <w:r>
        <w:rPr>
          <w:rFonts w:hint="eastAsia"/>
        </w:rPr>
        <w:t>人员与权限安全</w:t>
      </w:r>
    </w:p>
    <w:p w14:paraId="75B7E0B8">
      <w:pPr>
        <w:ind w:firstLine="480"/>
        <w:rPr>
          <w:rFonts w:hint="eastAsia"/>
        </w:rPr>
      </w:pPr>
      <w:r>
        <w:rPr>
          <w:rFonts w:hint="eastAsia"/>
        </w:rPr>
        <w:t>开发人员权限管控</w:t>
      </w:r>
    </w:p>
    <w:p w14:paraId="75B7E0B9">
      <w:pPr>
        <w:ind w:firstLine="480"/>
        <w:rPr>
          <w:rFonts w:hint="eastAsia"/>
        </w:rPr>
      </w:pPr>
      <w:r>
        <w:rPr>
          <w:rFonts w:hint="eastAsia"/>
        </w:rPr>
        <w:t>采用 “最小权限 + 按需授权”：开发人员仅能访问其负责模块的代码，禁止跨模块查看；临时权限需申请并在 24 小时内失效；</w:t>
      </w:r>
    </w:p>
    <w:p w14:paraId="75B7E0BA">
      <w:pPr>
        <w:ind w:firstLine="480"/>
        <w:rPr>
          <w:rFonts w:hint="eastAsia"/>
        </w:rPr>
      </w:pPr>
      <w:r>
        <w:rPr>
          <w:rFonts w:hint="eastAsia"/>
        </w:rPr>
        <w:t>身份认证：代码仓库、开发工具登录需采用 “双因素认证”（如密码 + 动态验证）。</w:t>
      </w:r>
    </w:p>
    <w:p w14:paraId="75B7E0BB">
      <w:pPr>
        <w:pStyle w:val="5"/>
      </w:pPr>
      <w:r>
        <w:rPr>
          <w:rFonts w:hint="eastAsia"/>
        </w:rPr>
        <w:t>安全培训与考核</w:t>
      </w:r>
    </w:p>
    <w:p w14:paraId="75B7E0BC">
      <w:pPr>
        <w:ind w:firstLine="480"/>
        <w:rPr>
          <w:rFonts w:hint="eastAsia"/>
        </w:rPr>
      </w:pPr>
      <w:r>
        <w:rPr>
          <w:rFonts w:hint="eastAsia"/>
        </w:rPr>
        <w:t>定期组织安全攻防演练，提升开发人员的漏洞识别能力。</w:t>
      </w:r>
    </w:p>
    <w:p w14:paraId="75B7E0BD">
      <w:pPr>
        <w:pStyle w:val="4"/>
        <w:rPr>
          <w:rFonts w:hint="eastAsia"/>
        </w:rPr>
      </w:pPr>
      <w:bookmarkStart w:id="173" w:name="_Toc7155"/>
      <w:r>
        <w:rPr>
          <w:rFonts w:hint="eastAsia"/>
        </w:rPr>
        <w:t>安全管理体系</w:t>
      </w:r>
      <w:bookmarkEnd w:id="173"/>
    </w:p>
    <w:p w14:paraId="75B7E0C1">
      <w:pPr>
        <w:pStyle w:val="5"/>
      </w:pPr>
      <w:r>
        <w:rPr>
          <w:rFonts w:hint="eastAsia"/>
        </w:rPr>
        <w:t>安全管理制度与流程</w:t>
      </w:r>
    </w:p>
    <w:p w14:paraId="75B7E0C2">
      <w:pPr>
        <w:ind w:firstLine="480"/>
        <w:rPr>
          <w:rFonts w:hint="eastAsia"/>
        </w:rPr>
      </w:pPr>
      <w:r>
        <w:rPr>
          <w:rFonts w:hint="eastAsia"/>
        </w:rPr>
        <w:t>制定《网络安全管理制度》《数据分类分级管理办法》《应急响应预案》等 15 项制度，明确设备运维、漏洞管理、事件处置等流程；</w:t>
      </w:r>
    </w:p>
    <w:p w14:paraId="75B7E0C4">
      <w:pPr>
        <w:pStyle w:val="5"/>
      </w:pPr>
      <w:r>
        <w:rPr>
          <w:rFonts w:hint="eastAsia"/>
        </w:rPr>
        <w:t>安全审计与合规检查</w:t>
      </w:r>
    </w:p>
    <w:p w14:paraId="75B7E0C6">
      <w:pPr>
        <w:ind w:firstLine="480"/>
        <w:rPr>
          <w:rFonts w:hint="eastAsia"/>
        </w:rPr>
      </w:pPr>
      <w:r>
        <w:rPr>
          <w:rFonts w:hint="eastAsia"/>
        </w:rPr>
        <w:t>每年委托第三方机构开展网络安全等级保护评估,并提交市公安局网技支队备案;</w:t>
      </w:r>
    </w:p>
    <w:p w14:paraId="75B7E0C7">
      <w:pPr>
        <w:ind w:firstLine="480"/>
        <w:rPr>
          <w:rFonts w:hint="eastAsia"/>
        </w:rPr>
      </w:pPr>
      <w:r>
        <w:rPr>
          <w:rFonts w:hint="eastAsia"/>
        </w:rPr>
        <w:t>每年委托第三方机构开展商用密码应用安全性评估，确保密码应用符合 GB/T 39786-2021 要求，评估报告作为项目合规运行依据。</w:t>
      </w:r>
    </w:p>
    <w:p w14:paraId="75B7E0C8">
      <w:pPr>
        <w:pStyle w:val="4"/>
        <w:rPr>
          <w:rFonts w:hint="eastAsia"/>
        </w:rPr>
      </w:pPr>
      <w:bookmarkStart w:id="174" w:name="_Toc15512"/>
      <w:r>
        <w:rPr>
          <w:rFonts w:hint="eastAsia"/>
        </w:rPr>
        <w:t>安全保障机制</w:t>
      </w:r>
      <w:bookmarkEnd w:id="174"/>
    </w:p>
    <w:p w14:paraId="75B7E0C9">
      <w:pPr>
        <w:pStyle w:val="5"/>
      </w:pPr>
      <w:r>
        <w:rPr>
          <w:rFonts w:hint="eastAsia"/>
        </w:rPr>
        <w:t>网络安全风险研判机制</w:t>
      </w:r>
    </w:p>
    <w:p w14:paraId="75B7E0CA">
      <w:pPr>
        <w:ind w:firstLine="480"/>
        <w:rPr>
          <w:rFonts w:hint="eastAsia"/>
        </w:rPr>
      </w:pPr>
      <w:r>
        <w:rPr>
          <w:rFonts w:hint="eastAsia"/>
        </w:rPr>
        <w:t>建立“日常监测 + 定期研判”双轨机制：通过</w:t>
      </w:r>
      <w:r>
        <w:rPr>
          <w:rFonts w:hint="eastAsia"/>
          <w:lang w:val="en-US"/>
        </w:rPr>
        <w:t>软件提供商云</w:t>
      </w:r>
      <w:r>
        <w:rPr>
          <w:rFonts w:hint="eastAsia"/>
        </w:rPr>
        <w:t>安全管理平台实时监测终端（执法 APP、监控设备）、传输网络、服务器、数据库等全环节风险，重点监控终端越狱 / ROOT、异常访问、数据泄露等行为，每日生成风险监测日报；</w:t>
      </w:r>
    </w:p>
    <w:p w14:paraId="75B7E0CB">
      <w:pPr>
        <w:ind w:firstLine="480"/>
        <w:rPr>
          <w:rFonts w:hint="eastAsia"/>
        </w:rPr>
      </w:pPr>
      <w:r>
        <w:rPr>
          <w:rFonts w:hint="eastAsia"/>
        </w:rPr>
        <w:t>每月组织安全团队开展风险研判，结合最新网络攻击态势（如钓鱼攻击、勒索病毒），对高风险漏洞、异常流量、终端违规行为进行分级评估（高、中、低风险），形成研判报告并制定针对性防控措施；</w:t>
      </w:r>
    </w:p>
    <w:p w14:paraId="75B7E0CC">
      <w:pPr>
        <w:ind w:firstLine="480"/>
        <w:rPr>
          <w:rFonts w:hint="eastAsia"/>
        </w:rPr>
      </w:pPr>
      <w:r>
        <w:rPr>
          <w:rFonts w:hint="eastAsia"/>
        </w:rPr>
        <w:t>终端风险专项研判：针对执法终端、无人机地面站等移动设备，重点研判设备丢失、恶意软件植入、敏感数据本地存储等风险，建立终端准入白名单，禁止非授权终端接入系统。</w:t>
      </w:r>
    </w:p>
    <w:p w14:paraId="75B7E0CD">
      <w:pPr>
        <w:ind w:firstLine="480"/>
        <w:rPr>
          <w:rFonts w:hint="eastAsia"/>
        </w:rPr>
      </w:pPr>
      <w:r>
        <w:rPr>
          <w:rFonts w:hint="eastAsia"/>
        </w:rPr>
        <w:t>2. 应急处置机制</w:t>
      </w:r>
    </w:p>
    <w:p w14:paraId="75B7E0CE">
      <w:pPr>
        <w:ind w:firstLine="480"/>
        <w:rPr>
          <w:rFonts w:hint="eastAsia"/>
        </w:rPr>
      </w:pPr>
      <w:r>
        <w:rPr>
          <w:rFonts w:hint="eastAsia"/>
        </w:rPr>
        <w:t>明确应急响应流程：发生安全事件后，按 “发现告警→初步研判→分级响应→遏制处置→系统恢复→调查取证” 六步流程处理，明确终端、网络、服务器、数据等不同类型事件的响应责任人及时限；</w:t>
      </w:r>
    </w:p>
    <w:p w14:paraId="75B7E0CF">
      <w:pPr>
        <w:ind w:firstLine="480"/>
        <w:rPr>
          <w:rFonts w:hint="eastAsia"/>
        </w:rPr>
      </w:pPr>
      <w:r>
        <w:rPr>
          <w:rFonts w:hint="eastAsia"/>
        </w:rPr>
        <w:t>分级响应标准：</w:t>
      </w:r>
    </w:p>
    <w:p w14:paraId="75B7E0D0">
      <w:pPr>
        <w:ind w:firstLine="480"/>
        <w:rPr>
          <w:rFonts w:hint="eastAsia"/>
        </w:rPr>
      </w:pPr>
      <w:r>
        <w:rPr>
          <w:rFonts w:hint="eastAsia"/>
        </w:rPr>
        <w:t>一级事件（如核心数据泄露、系统瘫痪）：30 分钟内启动应急，1 小时内完成遏制，4 小时内恢复核心业务，24 小时内完成初步调查；</w:t>
      </w:r>
    </w:p>
    <w:p w14:paraId="75B7E0D1">
      <w:pPr>
        <w:ind w:firstLine="480"/>
        <w:rPr>
          <w:rFonts w:hint="eastAsia"/>
        </w:rPr>
      </w:pPr>
      <w:r>
        <w:rPr>
          <w:rFonts w:hint="eastAsia"/>
        </w:rPr>
        <w:t>二级事件（如终端被入侵、单点设备故障）：1 小时内启动应急，2 小时内完成遏制，8 小时内恢复业务；</w:t>
      </w:r>
    </w:p>
    <w:p w14:paraId="75B7E0D2">
      <w:pPr>
        <w:ind w:firstLine="480"/>
        <w:rPr>
          <w:rFonts w:hint="eastAsia"/>
        </w:rPr>
      </w:pPr>
      <w:r>
        <w:rPr>
          <w:rFonts w:hint="eastAsia"/>
        </w:rPr>
        <w:t>三级事件（如轻微漏洞、少量异常流量）：2 小时内启动应急，4 小时内完成处置；</w:t>
      </w:r>
    </w:p>
    <w:p w14:paraId="75B7E0D3">
      <w:pPr>
        <w:ind w:firstLine="480"/>
        <w:rPr>
          <w:rFonts w:hint="eastAsia"/>
        </w:rPr>
      </w:pPr>
      <w:r>
        <w:rPr>
          <w:rFonts w:hint="eastAsia"/>
        </w:rPr>
        <w:t>终端应急处置：执法终端丢失后，管理员可远程擦除设备内敏感数据、冻结账号权限；终端感染恶意软件时，自动隔离设备并推送查杀指令。</w:t>
      </w:r>
    </w:p>
    <w:p w14:paraId="75B7E0D4">
      <w:pPr>
        <w:ind w:firstLine="480"/>
        <w:rPr>
          <w:rFonts w:hint="eastAsia"/>
        </w:rPr>
      </w:pPr>
      <w:r>
        <w:rPr>
          <w:rFonts w:hint="eastAsia"/>
        </w:rPr>
        <w:t>3. 事后研判与优化机制</w:t>
      </w:r>
    </w:p>
    <w:p w14:paraId="75B7E0D5">
      <w:pPr>
        <w:ind w:firstLine="480"/>
        <w:rPr>
          <w:rFonts w:hint="eastAsia"/>
        </w:rPr>
      </w:pPr>
      <w:r>
        <w:rPr>
          <w:rFonts w:hint="eastAsia"/>
        </w:rPr>
        <w:t>事件复盘：安全事件处置完成后，3 个工作日内组织复盘，分析事件原因、处置过程中的不足，形成复盘报告，明确责任认定及改进措施；</w:t>
      </w:r>
    </w:p>
    <w:p w14:paraId="75B7E0D6">
      <w:pPr>
        <w:ind w:firstLine="480"/>
        <w:rPr>
          <w:rFonts w:hint="eastAsia"/>
        </w:rPr>
      </w:pPr>
      <w:r>
        <w:rPr>
          <w:rFonts w:hint="eastAsia"/>
        </w:rPr>
        <w:t>漏洞修复与策略优化：针对事件暴露的漏洞，72 小时内完成修复，同步更新安全策略（如防火墙规则、终端防护配置）；</w:t>
      </w:r>
    </w:p>
    <w:p w14:paraId="75B7E0D7">
      <w:pPr>
        <w:ind w:firstLine="480"/>
        <w:rPr>
          <w:rFonts w:hint="eastAsia"/>
        </w:rPr>
      </w:pPr>
      <w:r>
        <w:rPr>
          <w:rFonts w:hint="eastAsia"/>
        </w:rPr>
        <w:t>经验沉淀：将典型安全事件、处置方法纳入安全知识库，每季度组织全员培训，提升应急处置能力。</w:t>
      </w:r>
    </w:p>
    <w:p w14:paraId="75B7E145">
      <w:pPr>
        <w:pStyle w:val="3"/>
        <w:rPr>
          <w:lang w:val="en-US"/>
        </w:rPr>
      </w:pPr>
      <w:bookmarkStart w:id="175" w:name="_Toc10637"/>
      <w:bookmarkStart w:id="176" w:name="_Toc23946"/>
      <w:r>
        <w:rPr>
          <w:rFonts w:hint="eastAsia"/>
          <w:lang w:val="en-US"/>
        </w:rPr>
        <w:t>备份系统建设方案</w:t>
      </w:r>
      <w:bookmarkEnd w:id="175"/>
      <w:bookmarkEnd w:id="176"/>
    </w:p>
    <w:p w14:paraId="75B7E146">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rPr>
        <w:t>造成信息系统数据丢失的因素有很多，可归纳为4类，即硬件故障、软件故障、人为误操作及自然灾难。为了应对种种数据丢失的威胁，必须采用可靠的、完备的备份措施来保障数据的安全。在数据备份的基础上，对于一些业务连续性要求高的应用，也需要有相应的技术方案来保障应用系统在故障情况下能够得以快速恢复。</w:t>
      </w:r>
    </w:p>
    <w:p w14:paraId="75B7E147">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rPr>
        <w:t>数据中心由于承载业务数据，其数据可靠性必须通过完善的备份方案来予以保障。备份需求可总结为以下几点：</w:t>
      </w:r>
    </w:p>
    <w:p w14:paraId="75B7E148">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lang w:val="en-US"/>
        </w:rPr>
        <w:t>1</w:t>
      </w:r>
      <w:r>
        <w:rPr>
          <w:rFonts w:hint="eastAsia" w:ascii="仿宋_GB2312" w:hAnsi="仿宋_GB2312" w:cs="仿宋_GB2312"/>
          <w:szCs w:val="24"/>
        </w:rPr>
        <w:t>.非结构化数据有三份以上数据拷贝，单份数据损坏对系统使用没有任何影响，且一份数据损坏后，后台系统会自动拷贝，使数据始终保证三重备份。</w:t>
      </w:r>
    </w:p>
    <w:p w14:paraId="75B7E149">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lang w:val="en-US"/>
        </w:rPr>
        <w:t>2</w:t>
      </w:r>
      <w:r>
        <w:rPr>
          <w:rFonts w:hint="eastAsia" w:ascii="仿宋_GB2312" w:hAnsi="仿宋_GB2312" w:cs="仿宋_GB2312"/>
          <w:szCs w:val="24"/>
        </w:rPr>
        <w:t>.虚拟机级别的备份，使得虚拟机故障时能够快速的、整体地恢复虚拟机系统，不必重新部署虚拟机操作系统和应用。</w:t>
      </w:r>
    </w:p>
    <w:p w14:paraId="75B7E14A">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lang w:val="en-US"/>
        </w:rPr>
        <w:t>3</w:t>
      </w:r>
      <w:r>
        <w:rPr>
          <w:rFonts w:hint="eastAsia" w:ascii="仿宋_GB2312" w:hAnsi="仿宋_GB2312" w:cs="仿宋_GB2312"/>
          <w:szCs w:val="24"/>
        </w:rPr>
        <w:t>.文件系统、应用级的备份和恢复。在部分应用数据或文件出现异常或丢失时，不必整体恢复虚拟机，而可以选择性地恢复要找回的数据。可以提高恢复效率，节省恢复成本。</w:t>
      </w:r>
    </w:p>
    <w:p w14:paraId="75B7E14B">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lang w:val="en-US"/>
        </w:rPr>
        <w:t>4</w:t>
      </w:r>
      <w:r>
        <w:rPr>
          <w:rFonts w:hint="eastAsia" w:ascii="仿宋_GB2312" w:hAnsi="仿宋_GB2312" w:cs="仿宋_GB2312"/>
          <w:szCs w:val="24"/>
        </w:rPr>
        <w:t>.数据库可实现高可用、快速恢复。</w:t>
      </w:r>
    </w:p>
    <w:p w14:paraId="75B7E14C">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rPr>
        <w:t>业务系统备份将从多个层面予以保障，包括存储层、数据层和系统层。备份对象由虚拟机和数据库构成。在存储层，要做到数据冗余，可满足多副本要求。</w:t>
      </w:r>
    </w:p>
    <w:p w14:paraId="75B7E14D">
      <w:pPr>
        <w:pStyle w:val="4"/>
        <w:rPr>
          <w:rFonts w:hint="eastAsia"/>
          <w:lang w:val="en-US"/>
        </w:rPr>
      </w:pPr>
      <w:bookmarkStart w:id="177" w:name="_Toc17857"/>
      <w:bookmarkStart w:id="178" w:name="_Toc160722328"/>
      <w:bookmarkStart w:id="179" w:name="_Toc208935228"/>
      <w:bookmarkStart w:id="180" w:name="_Toc174622799"/>
      <w:r>
        <w:rPr>
          <w:rFonts w:hint="eastAsia"/>
          <w:lang w:val="en-US"/>
        </w:rPr>
        <w:t>数据存储机制</w:t>
      </w:r>
      <w:bookmarkEnd w:id="177"/>
    </w:p>
    <w:p w14:paraId="75B7E14E">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rPr>
        <w:t>本期项目不再单独做数据备份，只对分析处理数据信息进行保留，依托原有的备份体系予以保障。</w:t>
      </w:r>
    </w:p>
    <w:p w14:paraId="75B7E14F">
      <w:pPr>
        <w:pStyle w:val="4"/>
        <w:rPr>
          <w:rFonts w:hint="eastAsia"/>
          <w:lang w:val="en-US"/>
        </w:rPr>
      </w:pPr>
      <w:bookmarkStart w:id="181" w:name="_Toc28904"/>
      <w:r>
        <w:rPr>
          <w:rFonts w:hint="eastAsia"/>
          <w:lang w:val="en-US"/>
        </w:rPr>
        <w:t>业务应用备份</w:t>
      </w:r>
      <w:bookmarkEnd w:id="181"/>
    </w:p>
    <w:p w14:paraId="75B7E151">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rPr>
        <w:t>针对虚拟主机通过快照进行数据备份，快照是某一时间点云盘数据状态的备份文件，常用于日常数据备份、实例误释放恢复、网络攻击恢复、制作自定义镜像等场景。</w:t>
      </w:r>
    </w:p>
    <w:p w14:paraId="75B7E152">
      <w:pPr>
        <w:autoSpaceDE/>
        <w:autoSpaceDN/>
        <w:adjustRightInd w:val="0"/>
        <w:snapToGrid w:val="0"/>
        <w:ind w:firstLine="480"/>
        <w:rPr>
          <w:rFonts w:hint="eastAsia" w:ascii="仿宋_GB2312" w:hAnsi="仿宋_GB2312" w:cs="仿宋_GB2312"/>
          <w:szCs w:val="24"/>
        </w:rPr>
      </w:pPr>
      <w:r>
        <w:rPr>
          <w:rFonts w:hint="eastAsia" w:ascii="仿宋_GB2312" w:hAnsi="仿宋_GB2312" w:cs="仿宋_GB2312"/>
          <w:szCs w:val="24"/>
        </w:rPr>
        <w:t>自动快照策略可以在预设的时间点周期性地创建快照，保护数据，当主机上部署的应用或服务出现系统安全攻击或者触发系统漏洞时，可以使用最临近的自动快照回滚数据盘。</w:t>
      </w:r>
      <w:bookmarkEnd w:id="178"/>
      <w:bookmarkEnd w:id="179"/>
      <w:bookmarkEnd w:id="180"/>
    </w:p>
    <w:p w14:paraId="75B7E153">
      <w:pPr>
        <w:pStyle w:val="4"/>
        <w:rPr>
          <w:rFonts w:hint="eastAsia"/>
          <w:lang w:val="en-US"/>
        </w:rPr>
      </w:pPr>
      <w:bookmarkStart w:id="182" w:name="_Toc13635"/>
      <w:r>
        <w:rPr>
          <w:rFonts w:hint="eastAsia"/>
          <w:lang w:val="en-US"/>
        </w:rPr>
        <w:t>网络备份</w:t>
      </w:r>
      <w:bookmarkEnd w:id="182"/>
    </w:p>
    <w:p w14:paraId="75B7E154">
      <w:pPr>
        <w:autoSpaceDE/>
        <w:autoSpaceDN/>
        <w:adjustRightInd w:val="0"/>
        <w:snapToGrid w:val="0"/>
        <w:ind w:firstLine="480"/>
        <w:rPr>
          <w:rFonts w:hint="eastAsia"/>
          <w:lang w:val="en-US"/>
        </w:rPr>
      </w:pPr>
      <w:r>
        <w:rPr>
          <w:rFonts w:hint="eastAsia"/>
          <w:lang w:val="en-US"/>
        </w:rPr>
        <w:t>聚焦网络设备配置及网络链路冗余，确保网络故障时可快速恢复网络连通性，保障备份数据传输及业务访问顺畅：</w:t>
      </w:r>
    </w:p>
    <w:p w14:paraId="75B7E155">
      <w:pPr>
        <w:autoSpaceDE/>
        <w:autoSpaceDN/>
        <w:adjustRightInd w:val="0"/>
        <w:snapToGrid w:val="0"/>
        <w:ind w:firstLine="480"/>
        <w:rPr>
          <w:rFonts w:hint="eastAsia"/>
          <w:lang w:val="en-US"/>
        </w:rPr>
      </w:pPr>
      <w:r>
        <w:rPr>
          <w:rFonts w:hint="eastAsia"/>
          <w:lang w:val="en-US"/>
        </w:rPr>
        <w:t>1. 网络设备配置备份：支持配置文件的版本管理，可回溯历史配置，当设备配置丢失或出错时，可快速恢复至正常配置状态。同时，开启设备日志备份功能，将网络设备日志实时传输至日志服务器进行存储，用于故障排查与审计。</w:t>
      </w:r>
    </w:p>
    <w:p w14:paraId="75B7E156">
      <w:pPr>
        <w:autoSpaceDE/>
        <w:autoSpaceDN/>
        <w:adjustRightInd w:val="0"/>
        <w:snapToGrid w:val="0"/>
        <w:ind w:firstLine="480"/>
        <w:rPr>
          <w:rFonts w:hint="eastAsia"/>
          <w:lang w:val="en-US"/>
        </w:rPr>
      </w:pPr>
      <w:r>
        <w:rPr>
          <w:rFonts w:hint="eastAsia"/>
          <w:lang w:val="en-US"/>
        </w:rPr>
        <w:t>2. 网络安全设备备份：针对防火墙、入侵检测系统（IDS）、入侵防御系统（IPS）等网络安全设备，采用主备部署模式，实时同步安全策略、规则配置及黑名单数据；当主设备故障时，备用设备自动接管安全防护任务，确保网络安全防护不中断。</w:t>
      </w:r>
    </w:p>
    <w:p w14:paraId="75B7E157">
      <w:pPr>
        <w:pStyle w:val="4"/>
        <w:rPr>
          <w:rFonts w:hint="eastAsia"/>
          <w:lang w:val="en-US"/>
        </w:rPr>
      </w:pPr>
      <w:bookmarkStart w:id="183" w:name="_Toc817"/>
      <w:r>
        <w:rPr>
          <w:rFonts w:hint="eastAsia"/>
          <w:lang w:val="en-US"/>
        </w:rPr>
        <w:t>环境备份</w:t>
      </w:r>
      <w:bookmarkEnd w:id="183"/>
    </w:p>
    <w:p w14:paraId="75B7E158">
      <w:pPr>
        <w:autoSpaceDE/>
        <w:autoSpaceDN/>
        <w:adjustRightInd w:val="0"/>
        <w:snapToGrid w:val="0"/>
        <w:ind w:firstLine="480"/>
        <w:rPr>
          <w:rFonts w:hint="eastAsia"/>
          <w:lang w:val="en-US"/>
        </w:rPr>
      </w:pPr>
      <w:r>
        <w:rPr>
          <w:rFonts w:hint="eastAsia"/>
          <w:lang w:val="en-US"/>
        </w:rPr>
        <w:t>覆盖硬件环境、虚拟化环境、操作系统环境及安全环境，确保备份系统及业务系统运行环境的可复制性与可恢复性：</w:t>
      </w:r>
    </w:p>
    <w:p w14:paraId="75B7E159">
      <w:pPr>
        <w:autoSpaceDE/>
        <w:autoSpaceDN/>
        <w:adjustRightInd w:val="0"/>
        <w:snapToGrid w:val="0"/>
        <w:ind w:firstLine="480"/>
        <w:rPr>
          <w:rFonts w:hint="eastAsia"/>
          <w:lang w:val="en-US"/>
        </w:rPr>
      </w:pPr>
      <w:r>
        <w:rPr>
          <w:rFonts w:hint="eastAsia"/>
          <w:lang w:val="en-US"/>
        </w:rPr>
        <w:t>1. 硬件环境备份：对服务器、存储设备、网络设备等核心硬件的型号、配置参数、拓扑结构进行详细记录，建立硬件资产档案；针对关键硬件设备，采用冗余部署（如双电源、双控制器），并与硬件供应商签订应急备件服务协议，确保硬件故障时可快速更换备件。</w:t>
      </w:r>
    </w:p>
    <w:p w14:paraId="75B7E15A">
      <w:pPr>
        <w:autoSpaceDE/>
        <w:autoSpaceDN/>
        <w:adjustRightInd w:val="0"/>
        <w:snapToGrid w:val="0"/>
        <w:ind w:firstLine="480"/>
        <w:rPr>
          <w:rFonts w:hint="eastAsia"/>
          <w:lang w:val="en-US"/>
        </w:rPr>
      </w:pPr>
      <w:r>
        <w:rPr>
          <w:rFonts w:hint="eastAsia"/>
          <w:lang w:val="en-US"/>
        </w:rPr>
        <w:t>2. 虚拟化环境备份：针对虚拟化平台（如VMware vSphere、华为 FusionSphere），采用虚拟化平台原生备份工具，对虚拟化集群配置、虚拟机模板、资源池配置等进行</w:t>
      </w:r>
      <w:r>
        <w:rPr>
          <w:rFonts w:hint="eastAsia"/>
          <w:highlight w:val="none"/>
          <w:lang w:val="en-US"/>
        </w:rPr>
        <w:t>定时备份</w:t>
      </w:r>
      <w:r>
        <w:rPr>
          <w:rFonts w:hint="eastAsia"/>
          <w:lang w:val="en-US"/>
        </w:rPr>
        <w:t>；支持虚拟化环境的整体恢复，当虚拟化平台故障时，可快速重建虚拟化环境并恢复虚拟机。</w:t>
      </w:r>
    </w:p>
    <w:p w14:paraId="75B7E15B">
      <w:pPr>
        <w:autoSpaceDE/>
        <w:autoSpaceDN/>
        <w:adjustRightInd w:val="0"/>
        <w:snapToGrid w:val="0"/>
        <w:ind w:firstLine="480"/>
        <w:rPr>
          <w:rFonts w:hint="eastAsia"/>
          <w:lang w:val="en-US"/>
        </w:rPr>
      </w:pPr>
      <w:r>
        <w:rPr>
          <w:rFonts w:hint="eastAsia"/>
          <w:lang w:val="en-US"/>
        </w:rPr>
        <w:t>3. 操作系统环境备份：针对服务器操作系统（如Windows Server、Linux、国产麒麟系统），采用系统镜像备份方案，对操作系统安装配置完成后的初始环境及关键更新后的环境进行镜像备份；支持系统的快速克隆与恢复，当操作系统崩溃时，可通过镜像在30分钟内恢复系统运行环境。同时，定期备份操作系统补丁、驱动程序等，确保系统恢复后可快速更新至最新状态。</w:t>
      </w:r>
    </w:p>
    <w:p w14:paraId="75B7E15C">
      <w:pPr>
        <w:autoSpaceDE/>
        <w:autoSpaceDN/>
        <w:adjustRightInd w:val="0"/>
        <w:snapToGrid w:val="0"/>
        <w:ind w:firstLine="480"/>
        <w:rPr>
          <w:rFonts w:hint="eastAsia"/>
          <w:lang w:val="en-US"/>
        </w:rPr>
      </w:pPr>
      <w:r>
        <w:rPr>
          <w:rFonts w:hint="eastAsia"/>
          <w:lang w:val="en-US"/>
        </w:rPr>
        <w:t>4. 安全环境备份：对操作系统安全配置（如用户权限、防火墙规则、密码策略）、安全软件（如杀毒软件、终端安全管理系统）的配置参数及病毒库进行定时备份；同步备份安全审计日志，确保安全环境恢复后可延续安全防护策略及审计追溯能力。</w:t>
      </w:r>
    </w:p>
    <w:p w14:paraId="75B7E15D">
      <w:pPr>
        <w:pStyle w:val="3"/>
      </w:pPr>
      <w:bookmarkStart w:id="184" w:name="_Toc17178"/>
      <w:r>
        <w:rPr>
          <w:rFonts w:hint="eastAsia"/>
        </w:rPr>
        <w:t>密码应用测评方案</w:t>
      </w:r>
      <w:bookmarkEnd w:id="184"/>
    </w:p>
    <w:p w14:paraId="75B7E15E">
      <w:pPr>
        <w:ind w:firstLine="480"/>
        <w:rPr>
          <w:rFonts w:hint="eastAsia"/>
        </w:rPr>
      </w:pPr>
      <w:r>
        <w:rPr>
          <w:rFonts w:hint="eastAsia"/>
        </w:rPr>
        <w:t>密码应用测评方案，将按照《政务信息化项目网络安全审查规范》《商用密码应用安全性评估管理办法（试行）》等规范进行设计，密码应用设备以及密保测评由岳阳市林业局统筹规划，本项目仅做方案设计。具体内容如下：</w:t>
      </w:r>
    </w:p>
    <w:p w14:paraId="75B7E15F">
      <w:pPr>
        <w:pStyle w:val="4"/>
        <w:rPr>
          <w:rFonts w:hint="eastAsia"/>
        </w:rPr>
      </w:pPr>
      <w:bookmarkStart w:id="185" w:name="_Toc22068"/>
      <w:r>
        <w:rPr>
          <w:rFonts w:hint="eastAsia"/>
        </w:rPr>
        <w:t>系统现状分析</w:t>
      </w:r>
      <w:bookmarkEnd w:id="185"/>
    </w:p>
    <w:p w14:paraId="75B7E160">
      <w:pPr>
        <w:ind w:firstLine="480"/>
        <w:rPr>
          <w:rFonts w:hint="eastAsia"/>
        </w:rPr>
      </w:pPr>
      <w:r>
        <w:rPr>
          <w:rFonts w:hint="eastAsia"/>
        </w:rPr>
        <w:t>本项目名称为“湖南省岳阳市森林火灾高风险区综合治理能力提升信息化建设”，需求单位是各林业相关部门，建设单位是岳阳市林业局，所属密码管理部门为岳阳市密码管理局。本项目承载在云服务商云资源上。用户可以通过桌面端Web浏览器访问、移动终端APP登录。</w:t>
      </w:r>
    </w:p>
    <w:p w14:paraId="75B7E161">
      <w:pPr>
        <w:ind w:firstLine="480"/>
        <w:rPr>
          <w:rFonts w:hint="eastAsia"/>
        </w:rPr>
      </w:pPr>
      <w:r>
        <w:rPr>
          <w:rFonts w:hint="eastAsia"/>
        </w:rPr>
        <w:t>密码服务现状：云服务商已建设国产密码相关能力。</w:t>
      </w:r>
    </w:p>
    <w:p w14:paraId="75B7E162">
      <w:pPr>
        <w:pStyle w:val="4"/>
        <w:rPr>
          <w:rFonts w:hint="eastAsia"/>
        </w:rPr>
      </w:pPr>
      <w:bookmarkStart w:id="186" w:name="_Toc29842"/>
      <w:r>
        <w:rPr>
          <w:rFonts w:hint="eastAsia"/>
        </w:rPr>
        <w:t>安全风险及控制需求</w:t>
      </w:r>
      <w:bookmarkEnd w:id="186"/>
    </w:p>
    <w:p w14:paraId="75B7E163">
      <w:pPr>
        <w:ind w:firstLine="480"/>
        <w:rPr>
          <w:rFonts w:hint="eastAsia"/>
        </w:rPr>
      </w:pPr>
      <w:r>
        <w:rPr>
          <w:rFonts w:hint="eastAsia"/>
        </w:rPr>
        <w:t>结合GB/T39786-2021《信息安全技术信息系统密码应用基本要求》｛第三级别｝要求与《信息安全技术网络安全等级保护基本要求》，本系统可能面临以下四大类主要安全威胁。</w:t>
      </w:r>
    </w:p>
    <w:p w14:paraId="75B7E164">
      <w:pPr>
        <w:ind w:firstLine="480"/>
        <w:rPr>
          <w:rFonts w:hint="eastAsia"/>
        </w:rPr>
      </w:pPr>
      <w:r>
        <w:rPr>
          <w:rFonts w:hint="eastAsia"/>
        </w:rPr>
        <w:t>一、安全风险</w:t>
      </w:r>
    </w:p>
    <w:p w14:paraId="75B7E165">
      <w:pPr>
        <w:ind w:firstLine="480"/>
        <w:rPr>
          <w:rFonts w:hint="eastAsia"/>
        </w:rPr>
      </w:pPr>
      <w:r>
        <w:rPr>
          <w:rFonts w:hint="eastAsia"/>
        </w:rPr>
        <w:t>（一）物理和环境风险</w:t>
      </w:r>
    </w:p>
    <w:p w14:paraId="75B7E166">
      <w:pPr>
        <w:ind w:firstLine="480"/>
        <w:rPr>
          <w:rFonts w:hint="eastAsia"/>
        </w:rPr>
      </w:pPr>
      <w:r>
        <w:rPr>
          <w:rFonts w:hint="eastAsia"/>
        </w:rPr>
        <w:t>本项目部署在云服务商云资源上，面临机房被非法入侵，门禁系统人员进出记录被非法篡改的风险。机房的监控视频数据若遭受破坏或恶意篡改，也会对整个机房的环境安全造成很大的风险。</w:t>
      </w:r>
    </w:p>
    <w:p w14:paraId="75B7E167">
      <w:pPr>
        <w:ind w:firstLine="480"/>
        <w:rPr>
          <w:rFonts w:hint="eastAsia"/>
        </w:rPr>
      </w:pPr>
      <w:r>
        <w:rPr>
          <w:rFonts w:hint="eastAsia"/>
        </w:rPr>
        <w:t>物理和环境安全方面主要考虑被测系统所在机房访问控制及记录数据的保护情况，涉及的测评对象主要为所在机房的电子门禁系统（如有）和视频监控系统。</w:t>
      </w:r>
    </w:p>
    <w:p w14:paraId="75B7E168">
      <w:pPr>
        <w:ind w:firstLine="480"/>
        <w:rPr>
          <w:rFonts w:hint="eastAsia"/>
        </w:rPr>
      </w:pPr>
      <w:r>
        <w:rPr>
          <w:rFonts w:hint="eastAsia"/>
        </w:rPr>
        <w:t>（二）网络和通信风险</w:t>
      </w:r>
    </w:p>
    <w:p w14:paraId="75B7E169">
      <w:pPr>
        <w:ind w:firstLine="480"/>
        <w:rPr>
          <w:rFonts w:hint="eastAsia"/>
        </w:rPr>
      </w:pPr>
      <w:r>
        <w:rPr>
          <w:rFonts w:hint="eastAsia"/>
        </w:rPr>
        <w:t>网络和通信安全方面主要考虑在数据传输过程中的安全接入和控制，涉及的测评对象为信息系统与网络边界外建立的网络通信信道、远程运维人员访问系统内部的网络通信信道、访问业务应用系统的网络通信信道，涉及的安全风险如下：</w:t>
      </w:r>
    </w:p>
    <w:p w14:paraId="75B7E16A">
      <w:pPr>
        <w:ind w:firstLine="480"/>
        <w:rPr>
          <w:rFonts w:hint="eastAsia"/>
        </w:rPr>
      </w:pPr>
      <w:r>
        <w:rPr>
          <w:rFonts w:hint="eastAsia"/>
        </w:rPr>
        <w:t>1.身份鉴别：人员访问系统内设备或者应用系统时，未采用密码技术进行通信前实体间的身份鉴别，存在非法从外部接入内部网络导致非授权访问的风险。</w:t>
      </w:r>
    </w:p>
    <w:p w14:paraId="75B7E16B">
      <w:pPr>
        <w:ind w:firstLine="480"/>
        <w:rPr>
          <w:rFonts w:hint="eastAsia"/>
        </w:rPr>
      </w:pPr>
      <w:r>
        <w:rPr>
          <w:rFonts w:hint="eastAsia"/>
        </w:rPr>
        <w:t>2.完整性：系统网络边界未采用密码技术保证访问控制信息的完整性，存在非授权用户/非授权设备进入内部网络的风险，容易导致网络链路受到攻击从而导致业务系统不可访问等；访问系统时，未采用合规的密码技术进行通信数据完整性保护，存在通信过程中数据被非授权截取、非授权篡改风险。</w:t>
      </w:r>
    </w:p>
    <w:p w14:paraId="75B7E16C">
      <w:pPr>
        <w:ind w:firstLine="480"/>
        <w:rPr>
          <w:rFonts w:hint="eastAsia"/>
        </w:rPr>
      </w:pPr>
      <w:r>
        <w:rPr>
          <w:rFonts w:hint="eastAsia"/>
        </w:rPr>
        <w:t>3.机密性：人员访问系统内设备或者应用系统时，未采用合规的密码技术进行数据传输机密性保护，存在通信数据在传输过程中泄漏的风险。</w:t>
      </w:r>
    </w:p>
    <w:p w14:paraId="75B7E16D">
      <w:pPr>
        <w:ind w:firstLine="480"/>
        <w:rPr>
          <w:rFonts w:hint="eastAsia"/>
        </w:rPr>
      </w:pPr>
      <w:r>
        <w:rPr>
          <w:rFonts w:hint="eastAsia"/>
        </w:rPr>
        <w:t>（三）设备和计算风险</w:t>
      </w:r>
    </w:p>
    <w:p w14:paraId="75B7E16E">
      <w:pPr>
        <w:ind w:firstLine="480"/>
        <w:rPr>
          <w:rFonts w:hint="eastAsia"/>
        </w:rPr>
      </w:pPr>
      <w:r>
        <w:rPr>
          <w:rFonts w:hint="eastAsia"/>
        </w:rPr>
        <w:t>设备和计算安全方面主要考虑设备的身份鉴别、远程管理通道安全及相关数据的安全防护，测评对象主要为通用服务器（如应用服务器、数据库服务器）、数据库管理系统、整机类和系统类的密码产品、堡垒机、各类虚拟设备等，涉及的安全风险如下：</w:t>
      </w:r>
    </w:p>
    <w:p w14:paraId="75B7E16F">
      <w:pPr>
        <w:ind w:firstLine="480"/>
        <w:rPr>
          <w:rFonts w:hint="eastAsia"/>
        </w:rPr>
      </w:pPr>
      <w:r>
        <w:rPr>
          <w:rFonts w:hint="eastAsia"/>
        </w:rPr>
        <w:t>1.身份鉴别：目前网络安全设备及服务器等通过堡垒机进行统一登录，访问堡垒机及服务器、网络安全设备等均采用用户名+口令进行认证，未采用密码技术实现身份鉴别，用户名及口令可能被恶意暴力破解导致设备被非授权人员登录的风险。</w:t>
      </w:r>
    </w:p>
    <w:p w14:paraId="75B7E170">
      <w:pPr>
        <w:ind w:firstLine="480"/>
        <w:rPr>
          <w:rFonts w:hint="eastAsia"/>
        </w:rPr>
      </w:pPr>
      <w:r>
        <w:rPr>
          <w:rFonts w:hint="eastAsia"/>
        </w:rPr>
        <w:t>2.远程管理通道安全：在远程运维管理时，设备通过自身的HTTPS或者SSH方式访问，采用强度不足或者不合规的密码算法和协议建立运维管理通道，存在数据泄露、数据被篡改等风险。</w:t>
      </w:r>
    </w:p>
    <w:p w14:paraId="75B7E171">
      <w:pPr>
        <w:ind w:firstLine="480"/>
        <w:rPr>
          <w:rFonts w:hint="eastAsia"/>
        </w:rPr>
      </w:pPr>
      <w:r>
        <w:rPr>
          <w:rFonts w:hint="eastAsia"/>
        </w:rPr>
        <w:t>3.完整性：服务器、数据库、堡垒机、安全设备等访问控制信息、日志记录均未采用合规的密码技术实现完整性保护，重要程序或文件在生成时未使用密码技术进行完整性保护，使用或读取这些程序和文件时，未对其进行完整性校验，存在数据或程序等被非授权篡改导致数据不可信的风险。</w:t>
      </w:r>
    </w:p>
    <w:p w14:paraId="75B7E172">
      <w:pPr>
        <w:ind w:firstLine="480"/>
        <w:rPr>
          <w:rFonts w:hint="eastAsia"/>
        </w:rPr>
      </w:pPr>
      <w:r>
        <w:rPr>
          <w:rFonts w:hint="eastAsia"/>
        </w:rPr>
        <w:t>4.重要信息资源敏感标记完整性：服务器、数据库、网络安全设备等不存在敏感信息标记，无敏感信息标记完整性保护需求。</w:t>
      </w:r>
    </w:p>
    <w:p w14:paraId="75B7E173">
      <w:pPr>
        <w:ind w:firstLine="480"/>
        <w:rPr>
          <w:rFonts w:hint="eastAsia"/>
        </w:rPr>
      </w:pPr>
      <w:r>
        <w:rPr>
          <w:rFonts w:hint="eastAsia"/>
        </w:rPr>
        <w:t>（四）应用和数据风险</w:t>
      </w:r>
    </w:p>
    <w:p w14:paraId="75B7E174">
      <w:pPr>
        <w:ind w:firstLine="480"/>
        <w:rPr>
          <w:rFonts w:hint="eastAsia"/>
        </w:rPr>
      </w:pPr>
      <w:r>
        <w:rPr>
          <w:rFonts w:hint="eastAsia"/>
        </w:rPr>
        <w:t>应用和数据安全方面主要考虑业务系统的身份鉴别、传输和存储的机密性及完整性、关键操作行为不可否认性等防护，当前信息系统现状及存在的风险如下：</w:t>
      </w:r>
    </w:p>
    <w:p w14:paraId="75B7E175">
      <w:pPr>
        <w:ind w:firstLine="480"/>
        <w:rPr>
          <w:rFonts w:hint="eastAsia"/>
        </w:rPr>
      </w:pPr>
      <w:r>
        <w:rPr>
          <w:rFonts w:hint="eastAsia"/>
        </w:rPr>
        <w:t>（1）身份鉴别</w:t>
      </w:r>
    </w:p>
    <w:p w14:paraId="75B7E176">
      <w:pPr>
        <w:ind w:firstLine="480"/>
        <w:rPr>
          <w:rFonts w:hint="eastAsia"/>
        </w:rPr>
      </w:pPr>
      <w:r>
        <w:rPr>
          <w:rFonts w:hint="eastAsia"/>
        </w:rPr>
        <w:t>登录应用系统时，授权人员使用用户名+口令进行实现身份鉴别，存在应用系统被身份冒用或非授权访问的风险，无法保证登录应用系统人员身份的真实性。</w:t>
      </w:r>
    </w:p>
    <w:p w14:paraId="75B7E177">
      <w:pPr>
        <w:ind w:firstLine="480"/>
        <w:rPr>
          <w:rFonts w:hint="eastAsia"/>
        </w:rPr>
      </w:pPr>
      <w:r>
        <w:rPr>
          <w:rFonts w:hint="eastAsia"/>
        </w:rPr>
        <w:t>（2）访问控制信息和重要信息资源安全标记完整性</w:t>
      </w:r>
    </w:p>
    <w:p w14:paraId="75B7E178">
      <w:pPr>
        <w:ind w:firstLine="480"/>
        <w:rPr>
          <w:rFonts w:hint="eastAsia"/>
        </w:rPr>
      </w:pPr>
      <w:r>
        <w:rPr>
          <w:rFonts w:hint="eastAsia"/>
        </w:rPr>
        <w:t>应用系统的访问控制策略、数据库表访问控制信息等未进行完整性保护，存在被非授权篡改的风险。</w:t>
      </w:r>
    </w:p>
    <w:p w14:paraId="75B7E179">
      <w:pPr>
        <w:ind w:firstLine="480"/>
        <w:rPr>
          <w:rFonts w:hint="eastAsia"/>
        </w:rPr>
      </w:pPr>
      <w:r>
        <w:rPr>
          <w:rFonts w:hint="eastAsia"/>
        </w:rPr>
        <w:t>（3）数据传输机密性</w:t>
      </w:r>
    </w:p>
    <w:p w14:paraId="75B7E17A">
      <w:pPr>
        <w:ind w:firstLine="480"/>
        <w:rPr>
          <w:rFonts w:hint="eastAsia"/>
        </w:rPr>
      </w:pPr>
      <w:r>
        <w:rPr>
          <w:rFonts w:hint="eastAsia"/>
        </w:rPr>
        <w:t>应用系统未采用符合相关国家标准、行业标准的密码技术措施保证数据的机密性，存在数据传输过程中被窃听导致信息泄露的风险。</w:t>
      </w:r>
    </w:p>
    <w:p w14:paraId="75B7E17B">
      <w:pPr>
        <w:ind w:firstLine="480"/>
        <w:rPr>
          <w:rFonts w:hint="eastAsia"/>
        </w:rPr>
      </w:pPr>
      <w:r>
        <w:rPr>
          <w:rFonts w:hint="eastAsia"/>
        </w:rPr>
        <w:t>（4）数据存储机密性</w:t>
      </w:r>
    </w:p>
    <w:p w14:paraId="75B7E17C">
      <w:pPr>
        <w:ind w:firstLine="480"/>
        <w:rPr>
          <w:rFonts w:hint="eastAsia"/>
        </w:rPr>
      </w:pPr>
      <w:r>
        <w:rPr>
          <w:rFonts w:hint="eastAsia"/>
        </w:rPr>
        <w:t>应用系统未采用符合相关国家标准、行业标准的密码技术保证存储过程的机密性，存在数据被窃取导致泄露的风险。</w:t>
      </w:r>
    </w:p>
    <w:p w14:paraId="75B7E17D">
      <w:pPr>
        <w:ind w:firstLine="480"/>
        <w:rPr>
          <w:rFonts w:hint="eastAsia"/>
        </w:rPr>
      </w:pPr>
      <w:r>
        <w:rPr>
          <w:rFonts w:hint="eastAsia"/>
        </w:rPr>
        <w:t>（5）数据传输完整性</w:t>
      </w:r>
    </w:p>
    <w:p w14:paraId="75B7E17E">
      <w:pPr>
        <w:ind w:firstLine="480"/>
        <w:rPr>
          <w:rFonts w:hint="eastAsia"/>
        </w:rPr>
      </w:pPr>
      <w:r>
        <w:rPr>
          <w:rFonts w:hint="eastAsia"/>
        </w:rPr>
        <w:t>应用系统未采用符合相关国家标准、行业标准的密码技术保证数据传输过程的完整性，存在数据完整性受到破坏或被恶意非授权篡改导致数据不可用的风险。</w:t>
      </w:r>
    </w:p>
    <w:p w14:paraId="75B7E17F">
      <w:pPr>
        <w:ind w:firstLine="480"/>
        <w:rPr>
          <w:rFonts w:hint="eastAsia"/>
        </w:rPr>
      </w:pPr>
      <w:r>
        <w:rPr>
          <w:rFonts w:hint="eastAsia"/>
        </w:rPr>
        <w:t>（6）数据存储完整性</w:t>
      </w:r>
    </w:p>
    <w:p w14:paraId="75B7E180">
      <w:pPr>
        <w:ind w:firstLine="480"/>
        <w:rPr>
          <w:rFonts w:hint="eastAsia"/>
        </w:rPr>
      </w:pPr>
      <w:r>
        <w:rPr>
          <w:rFonts w:hint="eastAsia"/>
        </w:rPr>
        <w:t>应用系统未采用符合相关国家标准、行业标准的密码技术保证数据的完整性，存在数据在存储过程中被非授权篡改导致数据不可用的风险。</w:t>
      </w:r>
    </w:p>
    <w:p w14:paraId="75B7E181">
      <w:pPr>
        <w:ind w:firstLine="480"/>
        <w:rPr>
          <w:rFonts w:hint="eastAsia"/>
        </w:rPr>
      </w:pPr>
      <w:r>
        <w:rPr>
          <w:rFonts w:hint="eastAsia"/>
        </w:rPr>
        <w:t>（7）抗抵赖</w:t>
      </w:r>
    </w:p>
    <w:p w14:paraId="75B7E182">
      <w:pPr>
        <w:ind w:firstLine="480"/>
        <w:rPr>
          <w:rFonts w:hint="eastAsia"/>
        </w:rPr>
      </w:pPr>
      <w:r>
        <w:rPr>
          <w:rFonts w:hint="eastAsia"/>
        </w:rPr>
        <w:t>应用系统的关键操作存在法律风险或责任认定需求，目前未采用密码技术保证数据操作行为的不可否认性，无法防止抵赖行为的发生。</w:t>
      </w:r>
    </w:p>
    <w:p w14:paraId="75B7E183">
      <w:pPr>
        <w:ind w:firstLine="480"/>
        <w:rPr>
          <w:rFonts w:hint="eastAsia"/>
        </w:rPr>
      </w:pPr>
      <w:r>
        <w:rPr>
          <w:rFonts w:hint="eastAsia"/>
        </w:rPr>
        <w:t>二、控制需求分析</w:t>
      </w:r>
    </w:p>
    <w:p w14:paraId="75B7E184">
      <w:pPr>
        <w:ind w:firstLine="480"/>
        <w:rPr>
          <w:rFonts w:hint="eastAsia"/>
        </w:rPr>
      </w:pPr>
      <w:r>
        <w:rPr>
          <w:rFonts w:hint="eastAsia"/>
        </w:rPr>
        <w:t>虽然本项目采取了一定的措施进行系统的安全防护，但仍旧在用户分类、设备运维、数据存储、数据传输等四个方面存在安全隐患。</w:t>
      </w:r>
    </w:p>
    <w:p w14:paraId="75B7E185">
      <w:pPr>
        <w:ind w:firstLine="480"/>
        <w:rPr>
          <w:rFonts w:hint="eastAsia"/>
        </w:rPr>
      </w:pPr>
      <w:r>
        <w:rPr>
          <w:rFonts w:hint="eastAsia"/>
        </w:rPr>
        <w:t>为了更好地保护信息安全，突破本项目的内部数据、公开数据的授权使用、安全传输、安全存储、数据防篡改和接口防护等障碍和瓶颈，针对性解决安全问题，需要采用更加安全可靠的信息安全保护手段。</w:t>
      </w:r>
    </w:p>
    <w:p w14:paraId="75B7E186">
      <w:pPr>
        <w:ind w:firstLine="480"/>
        <w:rPr>
          <w:rFonts w:hint="eastAsia"/>
        </w:rPr>
      </w:pPr>
      <w:r>
        <w:rPr>
          <w:rFonts w:hint="eastAsia"/>
        </w:rPr>
        <w:t>根据《中华人民共和国密码法》等文件的相关要求，商用密码是当前各类不涉及国家秘密信息资源进行安全保护的主要手段，其通过采用安全认证的密码技术或密码产品对信息进行加密保护，能够在保证信息的完整性和正确性的同时，防止信息被篡改、伪造和泄露。为此，本系统计划采用国产密码技术对当前系统进行安全技术改造。依据国家密码管理相关法律法规，结合系统的网络现状、系统现状、数据现状和业务现状，系统的业务需求和密码需求分析如下。</w:t>
      </w:r>
    </w:p>
    <w:p w14:paraId="75B7E187">
      <w:pPr>
        <w:ind w:firstLine="480"/>
        <w:rPr>
          <w:rFonts w:hint="eastAsia"/>
        </w:rPr>
      </w:pPr>
      <w:r>
        <w:rPr>
          <w:rFonts w:hint="eastAsia"/>
        </w:rPr>
        <w:t>（一）密码应用等级需求分析</w:t>
      </w:r>
    </w:p>
    <w:p w14:paraId="75B7E188">
      <w:pPr>
        <w:ind w:firstLine="480"/>
        <w:rPr>
          <w:rFonts w:hint="eastAsia"/>
        </w:rPr>
      </w:pPr>
      <w:r>
        <w:rPr>
          <w:rFonts w:hint="eastAsia"/>
        </w:rPr>
        <w:t>根据国家相关要求，需要加强重要领域密码应用，信息系统的密码应用应依据《信息安全技术信息系统密码应用基本要求》（GB/T39786-2021）｛第二级别｝要求采取相应保护措施，提升系统的安全防护水平。对于新建网络和信息系统，应当采取符合国家密码管理政策和标准规范的密码进行保护，做到同步规划、同步建设、同步运行、定期评估。对于已建的系统需要进行密码改造。</w:t>
      </w:r>
    </w:p>
    <w:p w14:paraId="75B7E189">
      <w:pPr>
        <w:ind w:firstLine="480"/>
        <w:rPr>
          <w:rFonts w:hint="eastAsia"/>
        </w:rPr>
      </w:pPr>
      <w:r>
        <w:rPr>
          <w:rFonts w:hint="eastAsia"/>
        </w:rPr>
        <w:t>因此，本项目需依据《信息安全技术信息系统密码应用基本要求》（GB/T39786-2021）｛第三级别｝要求，实现与商用密码的对接。</w:t>
      </w:r>
    </w:p>
    <w:p w14:paraId="75B7E18A">
      <w:pPr>
        <w:ind w:firstLine="480"/>
        <w:rPr>
          <w:rFonts w:hint="eastAsia"/>
        </w:rPr>
      </w:pPr>
      <w:r>
        <w:rPr>
          <w:rFonts w:hint="eastAsia"/>
        </w:rPr>
        <w:t>（二）合规性需求分析</w:t>
      </w:r>
    </w:p>
    <w:p w14:paraId="75B7E18B">
      <w:pPr>
        <w:ind w:firstLine="480"/>
        <w:rPr>
          <w:rFonts w:hint="eastAsia"/>
        </w:rPr>
      </w:pPr>
      <w:r>
        <w:rPr>
          <w:rFonts w:hint="eastAsia"/>
        </w:rPr>
        <w:t>密码产品中应配置使用SM系列商用密码算法，如SM2、SM3、SM4等。实现密码保护所使用的密码算法应为商用密码算法。</w:t>
      </w:r>
    </w:p>
    <w:p w14:paraId="75B7E18C">
      <w:pPr>
        <w:ind w:firstLine="480"/>
        <w:rPr>
          <w:rFonts w:hint="eastAsia"/>
        </w:rPr>
      </w:pPr>
      <w:r>
        <w:rPr>
          <w:rFonts w:hint="eastAsia"/>
        </w:rPr>
        <w:t>信息系统中应采用国家密码主管部门检测认证的密码产品，达到GB/T37092二级及以上安全要求。</w:t>
      </w:r>
    </w:p>
    <w:p w14:paraId="75B7E18D">
      <w:pPr>
        <w:ind w:firstLine="480"/>
        <w:rPr>
          <w:rFonts w:hint="eastAsia"/>
        </w:rPr>
      </w:pPr>
      <w:r>
        <w:rPr>
          <w:rFonts w:hint="eastAsia"/>
        </w:rPr>
        <w:t>系统中使用的密码技术应遵循密码相关国家标准和行业标准。</w:t>
      </w:r>
    </w:p>
    <w:p w14:paraId="75B7E18E">
      <w:pPr>
        <w:ind w:firstLine="480"/>
        <w:rPr>
          <w:rFonts w:hint="eastAsia"/>
        </w:rPr>
      </w:pPr>
      <w:r>
        <w:rPr>
          <w:rFonts w:hint="eastAsia"/>
        </w:rPr>
        <w:t>系统中所使用的密码服务，如数字证书应当使用商密数字证书。数字证书的颁发机构应具有国家密码管理局颁发的《电子认证服务使用密码许可证》，在国家密码管理局“电子政务电子认证服务机构目录”中。</w:t>
      </w:r>
    </w:p>
    <w:p w14:paraId="75B7E18F">
      <w:pPr>
        <w:ind w:firstLine="480"/>
        <w:rPr>
          <w:rFonts w:hint="eastAsia"/>
        </w:rPr>
      </w:pPr>
      <w:r>
        <w:rPr>
          <w:rFonts w:hint="eastAsia"/>
        </w:rPr>
        <w:t>各个层面涉及新增设备，如服务器密码机，可评估业务系统数据量，根据实际情况对设备进行复用，避免重复配置造成资源浪费。</w:t>
      </w:r>
    </w:p>
    <w:p w14:paraId="75B7E190">
      <w:pPr>
        <w:pStyle w:val="4"/>
        <w:rPr>
          <w:rFonts w:hint="eastAsia"/>
        </w:rPr>
      </w:pPr>
      <w:bookmarkStart w:id="187" w:name="_Toc25058"/>
      <w:r>
        <w:rPr>
          <w:rFonts w:hint="eastAsia"/>
        </w:rPr>
        <w:t>密码应用需求</w:t>
      </w:r>
      <w:bookmarkEnd w:id="187"/>
    </w:p>
    <w:p w14:paraId="75B7E191">
      <w:pPr>
        <w:ind w:firstLine="480"/>
        <w:rPr>
          <w:rFonts w:hint="eastAsia"/>
        </w:rPr>
      </w:pPr>
      <w:r>
        <w:rPr>
          <w:rFonts w:hint="eastAsia"/>
        </w:rPr>
        <w:t>一、物理和环境安全密码应用需求</w:t>
      </w:r>
    </w:p>
    <w:p w14:paraId="75B7E192">
      <w:pPr>
        <w:ind w:firstLine="480"/>
        <w:rPr>
          <w:rFonts w:hint="eastAsia"/>
        </w:rPr>
      </w:pPr>
      <w:r>
        <w:rPr>
          <w:rFonts w:hint="eastAsia"/>
        </w:rPr>
        <w:t>应用系统所在机房需要部署符合GMT0036-2014《采用非接触卡的门禁系统密码应用技术指南》标准要求的电子门禁系统对进出机房人员进行身份鉴别，实现对电子门禁记录进行完整性保护；需要采用符合密码相关国家、行业标准要求的国密视频监控系统，对视频记录进行完整性保护，防止记录数据被非授权篡改导致数据不可信，提高记录数据的真实可靠性。</w:t>
      </w:r>
    </w:p>
    <w:p w14:paraId="75B7E193">
      <w:pPr>
        <w:ind w:firstLine="480"/>
        <w:rPr>
          <w:rFonts w:hint="eastAsia"/>
        </w:rPr>
      </w:pPr>
      <w:r>
        <w:rPr>
          <w:rFonts w:hint="eastAsia"/>
        </w:rPr>
        <w:t>二、网络和通信安全密码应用需求</w:t>
      </w:r>
    </w:p>
    <w:p w14:paraId="75B7E194">
      <w:pPr>
        <w:ind w:firstLine="480"/>
        <w:rPr>
          <w:rFonts w:hint="eastAsia"/>
        </w:rPr>
      </w:pPr>
      <w:r>
        <w:rPr>
          <w:rFonts w:hint="eastAsia"/>
        </w:rPr>
        <w:t>在岳阳市部署符合密码相关的国家和行业标准要求SSLVPN安全网关，管理员通过SSLVPN访问到内部实现对网络安全设备、服务器、数据库等远程管理，并基于密码技术实现管理员与SSLVPN服务端之间通信实体的身份真实性，防止与假冒实体进行通信；并在通信过程中建立安全的传输通道，保护通信过程中重要数据的完整性和机密性，防止数据被非授权篡改，防止敏感数据泄露；</w:t>
      </w:r>
    </w:p>
    <w:p w14:paraId="75B7E195">
      <w:pPr>
        <w:ind w:firstLine="480"/>
        <w:rPr>
          <w:rFonts w:hint="eastAsia"/>
        </w:rPr>
      </w:pPr>
      <w:r>
        <w:rPr>
          <w:rFonts w:hint="eastAsia"/>
        </w:rPr>
        <w:t>在岳阳市部署符合密码相关的国家和行业标准要求SSL代理网关，实现系统管理系统页面的SSL反向代理，在远程访问应用系统时采用HTTPS基于国产密码协议建立安全的传输通道，保护通信过程中重要数据的完整性和机密性，防止数据被非授权篡改，防止敏感数据泄露；</w:t>
      </w:r>
    </w:p>
    <w:p w14:paraId="75B7E196">
      <w:pPr>
        <w:ind w:firstLine="480"/>
        <w:rPr>
          <w:rFonts w:hint="eastAsia"/>
        </w:rPr>
      </w:pPr>
      <w:r>
        <w:rPr>
          <w:rFonts w:hint="eastAsia"/>
        </w:rPr>
        <w:t>在不同系统间的边界接入区分别部署符合密码相关国家、行业标准要求的IPSecVPN，实现在通信前通信双方的身份鉴别，并建立安全的数据传输通道，保护通信过程中重要数据的完整性和机密性，防止数据被非授权篡改，防止敏感数据泄露；</w:t>
      </w:r>
    </w:p>
    <w:p w14:paraId="75B7E197">
      <w:pPr>
        <w:ind w:firstLine="480"/>
        <w:rPr>
          <w:rFonts w:hint="eastAsia"/>
        </w:rPr>
      </w:pPr>
      <w:r>
        <w:rPr>
          <w:rFonts w:hint="eastAsia"/>
        </w:rPr>
        <w:t>基于密码技术保护应用系统授权人员与系统之间的网络边界设备中的访问控制信息的完整性，防止被非授权篡改。</w:t>
      </w:r>
    </w:p>
    <w:p w14:paraId="75B7E198">
      <w:pPr>
        <w:pStyle w:val="4"/>
        <w:rPr>
          <w:rFonts w:hint="eastAsia"/>
        </w:rPr>
      </w:pPr>
      <w:bookmarkStart w:id="188" w:name="_Toc4714"/>
      <w:r>
        <w:rPr>
          <w:rFonts w:hint="eastAsia"/>
        </w:rPr>
        <w:t>总体方案设计</w:t>
      </w:r>
      <w:bookmarkEnd w:id="188"/>
    </w:p>
    <w:p w14:paraId="75B7E199">
      <w:pPr>
        <w:ind w:firstLine="480"/>
        <w:rPr>
          <w:rFonts w:hint="eastAsia"/>
        </w:rPr>
      </w:pPr>
      <w:r>
        <w:rPr>
          <w:rFonts w:hint="eastAsia"/>
        </w:rPr>
        <w:t>为落实国家、相关密码应用政策要求，严格按照GB/T39786-2021《信息安全技术信息系统密码应用基本要求》中第三级信息系统商用密码应用要求开展建设工作，依托完全自主可控的核心密码防护技术，对平台进行密码支撑与应用设计，在业务系统少改动或不改动前提下，实现密码应用的标准合规。平台能够适应信创电子政务的技术架构，满足政务外网区、互联网区等多个网络区域的密码应用需求，为政务内各业务系统提供密码服务和密码安全保障能力，具备良好的弹性可扩充能力。</w:t>
      </w:r>
    </w:p>
    <w:p w14:paraId="75B7E19A">
      <w:pPr>
        <w:ind w:firstLine="480"/>
        <w:rPr>
          <w:rFonts w:hint="eastAsia"/>
        </w:rPr>
      </w:pPr>
      <w:r>
        <w:rPr>
          <w:rFonts w:hint="eastAsia"/>
        </w:rPr>
        <w:t>本方案依托《中华人民共和国密码法》《信息安全技术信息系统密码应用基本要求》等，对现有整改信息系统进行符合商用密码应用安全性评估改造设计。通过对现有信息系统中增加、部署独立的、可替换的商用密码产品，采用互动网络、应用升级的方式，从而完成信息系统密码应用改造，满足本项目业务系统对密码的适应性建设需求。依托对密码建设的框架优化，密码应用技术框架设计如下：</w:t>
      </w:r>
    </w:p>
    <w:p w14:paraId="75B7E19B">
      <w:pPr>
        <w:spacing w:line="240" w:lineRule="auto"/>
        <w:ind w:firstLine="0" w:firstLineChars="0"/>
        <w:rPr>
          <w:rFonts w:hint="eastAsia"/>
        </w:rPr>
      </w:pPr>
      <w:r>
        <w:drawing>
          <wp:inline distT="0" distB="0" distL="114300" distR="114300">
            <wp:extent cx="5265420" cy="2479675"/>
            <wp:effectExtent l="0" t="0" r="7620" b="4445"/>
            <wp:docPr id="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pic:cNvPicPr>
                      <a:picLocks noChangeAspect="1"/>
                    </pic:cNvPicPr>
                  </pic:nvPicPr>
                  <pic:blipFill>
                    <a:blip r:embed="rId49"/>
                    <a:stretch>
                      <a:fillRect/>
                    </a:stretch>
                  </pic:blipFill>
                  <pic:spPr>
                    <a:xfrm>
                      <a:off x="0" y="0"/>
                      <a:ext cx="5265420" cy="2479675"/>
                    </a:xfrm>
                    <a:prstGeom prst="rect">
                      <a:avLst/>
                    </a:prstGeom>
                    <a:noFill/>
                    <a:ln>
                      <a:noFill/>
                    </a:ln>
                  </pic:spPr>
                </pic:pic>
              </a:graphicData>
            </a:graphic>
          </wp:inline>
        </w:drawing>
      </w:r>
    </w:p>
    <w:p w14:paraId="75B7E19C">
      <w:pPr>
        <w:ind w:firstLine="480"/>
        <w:rPr>
          <w:rFonts w:hint="eastAsia"/>
        </w:rPr>
      </w:pPr>
      <w:r>
        <w:rPr>
          <w:rFonts w:hint="eastAsia"/>
        </w:rPr>
        <w:t>其中，加解密+密钥管理：主要为应用系统提供数据加解密、杂凑等密码运算服务，实现信息的机密性、完整性、真实性和不可否认性保护，同时提供安全、完善的密钥管理功能。</w:t>
      </w:r>
    </w:p>
    <w:p w14:paraId="75B7E19D">
      <w:pPr>
        <w:ind w:firstLine="480"/>
        <w:rPr>
          <w:rFonts w:hint="eastAsia"/>
        </w:rPr>
      </w:pPr>
      <w:r>
        <w:rPr>
          <w:rFonts w:hint="eastAsia"/>
        </w:rPr>
        <w:t>SSLVPN：主要用于在网络上建立安全的信息传输通道，通过对数据包的加密和数据包目标地址的转换实现远程访问，进行加密通信。</w:t>
      </w:r>
    </w:p>
    <w:p w14:paraId="75B7E19E">
      <w:pPr>
        <w:ind w:firstLine="480"/>
        <w:rPr>
          <w:rFonts w:hint="eastAsia"/>
        </w:rPr>
      </w:pPr>
      <w:r>
        <w:rPr>
          <w:rFonts w:hint="eastAsia"/>
        </w:rPr>
        <w:t>时间戳：时间戳能够唯一地标识某一时刻（通常为一段字符序列），从而可用于应用系统用户证明某些数据的产生时间，支撑公钥基础设施的“不可否认”服务。</w:t>
      </w:r>
    </w:p>
    <w:p w14:paraId="75B7E19F">
      <w:pPr>
        <w:ind w:firstLine="480"/>
        <w:rPr>
          <w:rFonts w:hint="eastAsia"/>
        </w:rPr>
      </w:pPr>
      <w:r>
        <w:rPr>
          <w:rFonts w:hint="eastAsia"/>
        </w:rPr>
        <w:t>身份认证：主要为设备/用户的身份鉴别提供真实性、身份验证等信任服务。</w:t>
      </w:r>
    </w:p>
    <w:p w14:paraId="75B7E1A0">
      <w:pPr>
        <w:ind w:firstLine="480"/>
        <w:rPr>
          <w:rFonts w:hint="eastAsia"/>
        </w:rPr>
      </w:pPr>
      <w:r>
        <w:rPr>
          <w:rFonts w:hint="eastAsia"/>
        </w:rPr>
        <w:t>二、物理和环境安全</w:t>
      </w:r>
    </w:p>
    <w:p w14:paraId="75B7E1A1">
      <w:pPr>
        <w:ind w:firstLine="480"/>
        <w:rPr>
          <w:rFonts w:hint="eastAsia"/>
        </w:rPr>
      </w:pPr>
      <w:r>
        <w:rPr>
          <w:rFonts w:hint="eastAsia"/>
        </w:rPr>
        <w:t>“湖南省岳阳市森林火灾高风险区综合治理能力提升信息化建设”部署于云服务商云资源上，所需通用服务器资源、云密码资源以及网络资源均由云服务商提供，因此机房物理环境安全由云服务商统一负责保障，机房装有视频监控可实现实时监控，机房有专人管理，对进出机房的人员进行身份标识，建设健全的安全管理制度和人员管理制度。故物理和环境安全由机房统一负责，不在本项目改造范围内。</w:t>
      </w:r>
    </w:p>
    <w:p w14:paraId="75B7E1A2">
      <w:pPr>
        <w:ind w:firstLine="480"/>
        <w:rPr>
          <w:rFonts w:hint="eastAsia"/>
        </w:rPr>
      </w:pPr>
      <w:r>
        <w:rPr>
          <w:rFonts w:hint="eastAsia"/>
        </w:rPr>
        <w:t>三、网络和通信安全</w:t>
      </w:r>
    </w:p>
    <w:p w14:paraId="75B7E1A3">
      <w:pPr>
        <w:ind w:firstLine="480"/>
        <w:rPr>
          <w:rFonts w:hint="eastAsia"/>
        </w:rPr>
      </w:pPr>
      <w:r>
        <w:rPr>
          <w:rFonts w:hint="eastAsia"/>
        </w:rPr>
        <w:t>本层面需采用密码保护的对象是PC终端（含运维终端）到业务服务区的通道边界、APP终端到业务服务区的通道边界。</w:t>
      </w:r>
    </w:p>
    <w:p w14:paraId="75B7E1A4">
      <w:pPr>
        <w:ind w:firstLine="480"/>
        <w:rPr>
          <w:rFonts w:hint="eastAsia"/>
        </w:rPr>
      </w:pPr>
      <w:r>
        <w:rPr>
          <w:rFonts w:hint="eastAsia"/>
        </w:rPr>
        <w:t>构建基于国密协议的数据链路传输通道，为通信网络提供报文机密性、完整性和身份真实性。</w:t>
      </w:r>
    </w:p>
    <w:p w14:paraId="75B7E1A5">
      <w:pPr>
        <w:ind w:firstLine="480"/>
        <w:rPr>
          <w:rFonts w:hint="eastAsia"/>
        </w:rPr>
      </w:pPr>
      <w:r>
        <w:rPr>
          <w:rFonts w:hint="eastAsia"/>
        </w:rPr>
        <w:t>PC用户使用安全认证网关客户端与服务端的安全认证网关构建国密VPN安全传输通道。服务端侧，业务系统服务端不需要任何改造，只需要将安全认证网关部署在服务器的网络前侧。终端侧，在用户终端设备安装安全认证网关客户端软件结合USBkey密码模块。</w:t>
      </w:r>
    </w:p>
    <w:p w14:paraId="75B7E1A6">
      <w:pPr>
        <w:ind w:firstLine="480"/>
        <w:rPr>
          <w:rFonts w:hint="eastAsia"/>
        </w:rPr>
      </w:pPr>
      <w:r>
        <w:rPr>
          <w:rFonts w:hint="eastAsia"/>
        </w:rPr>
        <w:t>运维人员使用VPN安全网关客户端与服务端的VPN安全网关构建国密VPN安全传输通道。服务端侧，业务系统服务端不需要任何改造，只需要将VPN安全网关部署在服务器的网络前侧。终端侧，在用户终端设备安装VPN安全网关客户端软件结合USBkey密码模块。</w:t>
      </w:r>
    </w:p>
    <w:p w14:paraId="75B7E1A7">
      <w:pPr>
        <w:ind w:firstLine="480"/>
        <w:rPr>
          <w:rFonts w:hint="eastAsia"/>
        </w:rPr>
      </w:pPr>
      <w:r>
        <w:rPr>
          <w:rFonts w:hint="eastAsia"/>
        </w:rPr>
        <w:t>APP用户通过内置的移动端密码模块与服务端的VPN安全网关构建国密VPN安全传输通道。</w:t>
      </w:r>
    </w:p>
    <w:p w14:paraId="75B7E1A8">
      <w:pPr>
        <w:ind w:firstLine="480"/>
        <w:rPr>
          <w:rFonts w:hint="eastAsia"/>
        </w:rPr>
      </w:pPr>
      <w:r>
        <w:rPr>
          <w:rFonts w:hint="eastAsia"/>
        </w:rPr>
        <w:t>安全认证网关SM2/SM3/SM4算法。</w:t>
      </w:r>
    </w:p>
    <w:p w14:paraId="75B7E1A9">
      <w:pPr>
        <w:ind w:firstLine="480"/>
        <w:rPr>
          <w:rFonts w:hint="eastAsia"/>
        </w:rPr>
      </w:pPr>
      <w:r>
        <w:rPr>
          <w:rFonts w:hint="eastAsia"/>
        </w:rPr>
        <w:t>VPN安全网关支持SM2/SM3/SM4/SM9算法。</w:t>
      </w:r>
    </w:p>
    <w:p w14:paraId="75B7E1AA">
      <w:pPr>
        <w:ind w:firstLine="480"/>
        <w:rPr>
          <w:rFonts w:hint="eastAsia"/>
        </w:rPr>
      </w:pPr>
      <w:r>
        <w:rPr>
          <w:rFonts w:hint="eastAsia"/>
        </w:rPr>
        <w:t>四、设备和计算安全</w:t>
      </w:r>
    </w:p>
    <w:p w14:paraId="75B7E1AB">
      <w:pPr>
        <w:ind w:firstLine="480"/>
        <w:rPr>
          <w:rFonts w:hint="eastAsia"/>
        </w:rPr>
      </w:pPr>
      <w:r>
        <w:rPr>
          <w:rFonts w:hint="eastAsia"/>
        </w:rPr>
        <w:t>本层面需采用密码保护的对象是通用服务器及网络和安全设备，从而保障计算设备的身份鉴别、远程管理通道安全、系统资源访问控制信息完整性、日志记录完整性、重要可执行程序完整性、重要可执行程序来源真实性。</w:t>
      </w:r>
    </w:p>
    <w:p w14:paraId="75B7E1AC">
      <w:pPr>
        <w:ind w:firstLine="480"/>
        <w:rPr>
          <w:rFonts w:hint="eastAsia"/>
        </w:rPr>
      </w:pPr>
      <w:r>
        <w:rPr>
          <w:rFonts w:hint="eastAsia"/>
        </w:rPr>
        <w:t>身份鉴别：“采用密码技术对登录的用户进行身份鉴别”要求中的用户指的是登录设备的用户。系统服务器设备登录均为账号口令方式认证，难以改造，本项目计划采用安全接入平台，通过在系统运维管理人员的PC上安装VPN安全网关客户端+USBkey，进行身份鉴别，同时，建立远程管理身份鉴别信息传输机密性保护，防止非授权人员登录、管理员远程登录身份鉴别信息被非授权窃取；所有运维人员均需要使用VPN安全网关客户端+USBkey才能访问内网设备，对于通用设备的身份鉴别方式暂不进行改造，密码设备均采用USBkey（内置国密证书）认证的方式进行鉴别。</w:t>
      </w:r>
    </w:p>
    <w:p w14:paraId="75B7E1AD">
      <w:pPr>
        <w:ind w:firstLine="480"/>
        <w:rPr>
          <w:rFonts w:hint="eastAsia"/>
        </w:rPr>
      </w:pPr>
      <w:r>
        <w:rPr>
          <w:rFonts w:hint="eastAsia"/>
        </w:rPr>
        <w:t>远程管理通道安全：当运维人员进行远程管理设备时，通过采用VPN安全网关，为用户端与服务端之间建立国密VPN安全传输通道，数据全部加密传输，杜绝中间传输过程中泄密；内网通用设备、密码设备采用SSH、HTTPS协议进行管理，SSH、HTTPS协议禁止使用RSA1024、DES、MD5、SHA-1等高风险算法。</w:t>
      </w:r>
    </w:p>
    <w:p w14:paraId="75B7E1AE">
      <w:pPr>
        <w:ind w:firstLine="480"/>
        <w:rPr>
          <w:rFonts w:hint="eastAsia"/>
        </w:rPr>
      </w:pPr>
      <w:r>
        <w:rPr>
          <w:rFonts w:hint="eastAsia"/>
        </w:rPr>
        <w:t>其他安全防护设计：针对系统资源访问控制信息的完整性，信息系统中采用符合国家密码管理局检测认证的密码设备，可通过密码设备自身机制满足此项指标。通用设备系统资源访问控制信息完整性受应用支撑及当前技术水平所限，较难实现。通过对人员的访问进行标识和鉴别，降低了非授权访问的风险，对设备管理员进行详细的权限管理，遵循权限分离原则，只分配给管理员完成操作所需的最小权限，通过严格的管理措施降低安全风险。</w:t>
      </w:r>
    </w:p>
    <w:p w14:paraId="75B7E1AF">
      <w:pPr>
        <w:ind w:firstLine="480"/>
        <w:rPr>
          <w:rFonts w:hint="eastAsia"/>
        </w:rPr>
      </w:pPr>
      <w:r>
        <w:rPr>
          <w:rFonts w:hint="eastAsia"/>
        </w:rPr>
        <w:t>针对重要数据的完整性，信息系统采用符合国家密码管理局检测认证的密码设备，可通过密码设备自身机制满足此项指标。当前单位针对通用设备已按照《中华人民共和国网络安全法》要求对日志记录进行收集、留存，降低了日志记录完整性保护的安全风险。</w:t>
      </w:r>
    </w:p>
    <w:p w14:paraId="75B7E1B0">
      <w:pPr>
        <w:ind w:firstLine="480"/>
        <w:rPr>
          <w:rFonts w:hint="eastAsia"/>
        </w:rPr>
      </w:pPr>
      <w:r>
        <w:rPr>
          <w:rFonts w:hint="eastAsia"/>
        </w:rPr>
        <w:t>系统设备中无重要信息资源安全标记，不存在重要信息资源安全标记的完整性保护需求。</w:t>
      </w:r>
    </w:p>
    <w:p w14:paraId="75B7E1B1">
      <w:pPr>
        <w:ind w:firstLine="480"/>
        <w:rPr>
          <w:rFonts w:hint="eastAsia"/>
        </w:rPr>
      </w:pPr>
      <w:r>
        <w:rPr>
          <w:rFonts w:hint="eastAsia"/>
        </w:rPr>
        <w:t>信息系统中采用符合国家密码管理局检测认证的密码设备，可通过密码设备自身机制满足重要可执行程序完整性、重要可执行程序来源真实性。通用设备系统受应用支撑及当前技术水平所限，较难实现。应用系统中重要可执行程序均从官方渠道获取，且在安装前对程序进行验证，保证其没有受到篡改。在一定程度上降低重要可执行程序完整性、重要可执行程序来源真实性保护的安全风险。</w:t>
      </w:r>
    </w:p>
    <w:p w14:paraId="75B7E1B2">
      <w:pPr>
        <w:ind w:firstLine="480"/>
        <w:rPr>
          <w:rFonts w:hint="eastAsia"/>
        </w:rPr>
      </w:pPr>
      <w:r>
        <w:rPr>
          <w:rFonts w:hint="eastAsia"/>
        </w:rPr>
        <w:t>五、应用和数据安全</w:t>
      </w:r>
    </w:p>
    <w:p w14:paraId="75B7E1B3">
      <w:pPr>
        <w:ind w:firstLine="480"/>
        <w:rPr>
          <w:rFonts w:hint="eastAsia"/>
        </w:rPr>
      </w:pPr>
      <w:r>
        <w:rPr>
          <w:rFonts w:hint="eastAsia"/>
        </w:rPr>
        <w:t>本层面需采用密码保护的对象是通用服务器及网络和安全设备，从而保障计算设备的身份鉴别、远程管理通道安全、系统资源访问控制信息完整性、日志记录完整性、重要可执行程序完整性、重要可执行程序来源真实性。</w:t>
      </w:r>
    </w:p>
    <w:p w14:paraId="75B7E1B4">
      <w:pPr>
        <w:ind w:firstLine="480"/>
        <w:rPr>
          <w:rFonts w:hint="eastAsia"/>
        </w:rPr>
      </w:pPr>
      <w:r>
        <w:rPr>
          <w:rFonts w:hint="eastAsia"/>
        </w:rPr>
        <w:t>身份鉴别：“采用密码技术对登录的用户进行身份鉴别”要求中的用户指的是登录设备的用户。系统服务器设备登录均为账号口令方式认证，难以改造，本项目计划采用安全接入平台，通过在系统运维管理人员的PC上安装VPN安全网关客户端+USBkey，进行身份鉴别，同时，建立远程管理身份鉴别信息传输机密性保护，防止非授权人员登录、管理员远程登录身份鉴别信息被非授权窃取；所有运维人员均需要使用VPN安全网关客户端+USBkey才能访问内网设备，对于通用设备的身份鉴别方式暂不进行改造，密码设备均采用USBkey（内置国密证书）认证的方式进行鉴别。</w:t>
      </w:r>
    </w:p>
    <w:p w14:paraId="75B7E1B5">
      <w:pPr>
        <w:ind w:firstLine="480"/>
        <w:rPr>
          <w:rFonts w:hint="eastAsia"/>
        </w:rPr>
      </w:pPr>
      <w:r>
        <w:rPr>
          <w:rFonts w:hint="eastAsia"/>
        </w:rPr>
        <w:t>远程管理通道安全：当运维人员进行远程管理设备时，通过采用VPN安全网关，为用户端与服务端之间建立国密VPN安全传输通道，数据全部加密传输，杜绝中间传输过程中泄密；内网通用设备、密码设备采用SSH、HTTPS协议进行管理，SSH、HTTPS协议禁止使用RSA1024、DES、MD5、SHA-1等高风险算法。</w:t>
      </w:r>
    </w:p>
    <w:p w14:paraId="75B7E1B6">
      <w:pPr>
        <w:ind w:firstLine="480"/>
        <w:rPr>
          <w:rFonts w:hint="eastAsia"/>
        </w:rPr>
      </w:pPr>
      <w:r>
        <w:rPr>
          <w:rFonts w:hint="eastAsia"/>
        </w:rPr>
        <w:t>其他安全防护设计：针对系统资源访问控制信息的完整性，信息系统中采用符合国家密码管理局检测认证的密码设备，可通过密码设备自身机制满足此项指标。通用设备系统资源访问控制信息完整性受应用支撑及当前技术水平所限，较难实现。通过对人员的访问进行标识和鉴别，降低了非授权访问的风险，对设备管理员进行详细的权限管理，遵循权限分离原则，只分配给管理员完成操作所需的最小权限，通过严格的管理措施降低安全风险。</w:t>
      </w:r>
    </w:p>
    <w:p w14:paraId="75B7E1B7">
      <w:pPr>
        <w:ind w:firstLine="480"/>
        <w:rPr>
          <w:rFonts w:hint="eastAsia"/>
        </w:rPr>
      </w:pPr>
      <w:r>
        <w:rPr>
          <w:rFonts w:hint="eastAsia"/>
        </w:rPr>
        <w:t>针对重要数据的完整性，信息系统采用符合国家密码管理局检测认证的密码设备，可通过密码设备自身机制满足此项指标。当前单位针对通用设备已按照《中华人民共和国网络安全法》要求对日志记录进行收集、留存，降低了日志记录完整性保护的安全风险。</w:t>
      </w:r>
    </w:p>
    <w:p w14:paraId="75B7E1B8">
      <w:pPr>
        <w:ind w:firstLine="480"/>
        <w:rPr>
          <w:rFonts w:hint="eastAsia"/>
        </w:rPr>
      </w:pPr>
      <w:r>
        <w:rPr>
          <w:rFonts w:hint="eastAsia"/>
        </w:rPr>
        <w:t>系统设备中无重要信息资源安全标记，不存在重要信息资源安全标记的完整性保护需求。</w:t>
      </w:r>
    </w:p>
    <w:p w14:paraId="75B7E1B9">
      <w:pPr>
        <w:ind w:firstLine="480"/>
        <w:rPr>
          <w:rFonts w:hint="eastAsia"/>
        </w:rPr>
      </w:pPr>
      <w:r>
        <w:rPr>
          <w:rFonts w:hint="eastAsia"/>
        </w:rPr>
        <w:t>信息系统中采用符合国家密码管理局检测认证的密码设备，可通过密码设备自身机制满足重要可执行程序完整性、重要可执行程序来源真实性。通用设备系统受应用支撑及当前技术水平所限，较难实现。应用系统中重要可执行程序均从官方渠道获取，且在安装前对程序进行验证，保证其没有受到篡改。在一定程度上降低重要可执行程序完整性、重要可执行程序来源真实性保护的安全风险。</w:t>
      </w:r>
    </w:p>
    <w:p w14:paraId="75B7E1BA">
      <w:pPr>
        <w:pStyle w:val="4"/>
        <w:rPr>
          <w:rFonts w:hint="eastAsia"/>
        </w:rPr>
      </w:pPr>
      <w:bookmarkStart w:id="189" w:name="_Toc25183"/>
      <w:r>
        <w:rPr>
          <w:rFonts w:hint="eastAsia"/>
        </w:rPr>
        <w:t>管理体系设计与运维体系设计</w:t>
      </w:r>
      <w:bookmarkEnd w:id="189"/>
    </w:p>
    <w:p w14:paraId="75B7E1BB">
      <w:pPr>
        <w:ind w:firstLine="480"/>
        <w:rPr>
          <w:rFonts w:hint="eastAsia"/>
        </w:rPr>
      </w:pPr>
      <w:r>
        <w:rPr>
          <w:rFonts w:hint="eastAsia"/>
        </w:rPr>
        <w:t>一、安全管理体系设计</w:t>
      </w:r>
    </w:p>
    <w:p w14:paraId="75B7E1BC">
      <w:pPr>
        <w:ind w:firstLine="480"/>
        <w:rPr>
          <w:rFonts w:hint="eastAsia"/>
        </w:rPr>
      </w:pPr>
      <w:r>
        <w:rPr>
          <w:rFonts w:hint="eastAsia"/>
        </w:rPr>
        <w:t>（一）制度</w:t>
      </w:r>
    </w:p>
    <w:p w14:paraId="75B7E1BD">
      <w:pPr>
        <w:ind w:firstLine="480"/>
        <w:rPr>
          <w:rFonts w:hint="eastAsia"/>
        </w:rPr>
      </w:pPr>
      <w:r>
        <w:rPr>
          <w:rFonts w:hint="eastAsia"/>
        </w:rPr>
        <w:t>结合信息系统的实际情况，根据《信息安全技术信息系统密码应用基本要求》中安全管理制度方面的要求，制定相适应的密码安全管理制度和操作规范，并同步在单位现有的制度发布流程中补充密码相关管理制度发布流程，待新制定的密码安全管理制度和操作规范内部评审通过后，按照密码相关管理制度发布流程予以发布并遵照执行。密码安全管理制度和操作规范发布后，每年年底，在我部内部组织专家和密码相关人员对密码安全管理制度和操作规范在使用过程中的合理性和适用性进行论证和审定，对存在不足或需要改进的安全管理制度进行修订。</w:t>
      </w:r>
    </w:p>
    <w:p w14:paraId="75B7E1BE">
      <w:pPr>
        <w:ind w:firstLine="480"/>
        <w:rPr>
          <w:rFonts w:hint="eastAsia"/>
        </w:rPr>
      </w:pPr>
      <w:r>
        <w:rPr>
          <w:rFonts w:hint="eastAsia"/>
        </w:rPr>
        <w:t>（二）人员</w:t>
      </w:r>
    </w:p>
    <w:p w14:paraId="75B7E1BF">
      <w:pPr>
        <w:ind w:firstLine="480"/>
        <w:rPr>
          <w:rFonts w:hint="eastAsia"/>
        </w:rPr>
      </w:pPr>
      <w:r>
        <w:rPr>
          <w:rFonts w:hint="eastAsia"/>
        </w:rPr>
        <w:t>根据《信息安全技术信息系统密码应用基本要求》中安全管理人员方面的要求，对信息系统现有的人员管理制度进行补充和完善。</w:t>
      </w:r>
    </w:p>
    <w:p w14:paraId="75B7E1C0">
      <w:pPr>
        <w:ind w:firstLine="480"/>
        <w:rPr>
          <w:rFonts w:hint="eastAsia"/>
        </w:rPr>
      </w:pPr>
      <w:r>
        <w:rPr>
          <w:rFonts w:hint="eastAsia"/>
        </w:rPr>
        <w:t>一是设置内部密码专题培训机制，每6个月组织一次，由内部人员或聘请外部专家担任培训讲师，内容涉及密码相关法律法规和标准规范、商用密码应用、商用密码应用安全性评估等多个方面，使相关人员了解密码相关的法律和法规，掌握密码基本原理，并遵照执行。</w:t>
      </w:r>
    </w:p>
    <w:p w14:paraId="75B7E1C1">
      <w:pPr>
        <w:ind w:firstLine="480"/>
        <w:rPr>
          <w:rFonts w:hint="eastAsia"/>
        </w:rPr>
      </w:pPr>
      <w:r>
        <w:rPr>
          <w:rFonts w:hint="eastAsia"/>
        </w:rPr>
        <w:t>二是在本系统完成密码应用改造后，安排项目建设单位、相关密码设备厂商对本系统部署使用的所有密码产品进行操作培训，确保相关人员能够正确配置使用本系统中部署的密码产品。</w:t>
      </w:r>
    </w:p>
    <w:p w14:paraId="75B7E1C2">
      <w:pPr>
        <w:ind w:firstLine="480"/>
        <w:rPr>
          <w:rFonts w:hint="eastAsia"/>
        </w:rPr>
      </w:pPr>
      <w:r>
        <w:rPr>
          <w:rFonts w:hint="eastAsia"/>
        </w:rPr>
        <w:t>三是结合本系统情况，分别设立密钥管理员、安全审计员、密码操作员等岗位，明确各岗位职责，每个岗位均由2人担任。</w:t>
      </w:r>
    </w:p>
    <w:p w14:paraId="75B7E1C3">
      <w:pPr>
        <w:ind w:firstLine="480"/>
        <w:rPr>
          <w:rFonts w:hint="eastAsia"/>
        </w:rPr>
      </w:pPr>
      <w:r>
        <w:rPr>
          <w:rFonts w:hint="eastAsia"/>
        </w:rPr>
        <w:t>四是在现有的安全管理制度中，补充密码相关人员考核、奖惩、保密、调离制度，每年对密钥管理人员、安全审计人员、密码操作人员组织一次考核，对考核成绩优异的予以表扬和奖励，考核成绩不合格者，进行批评教育；密钥管理人员、安全审计人员、密码操作人员与单位签订保密协议，承担保密义务，相关人员若要调离岗位时，按照制定的人员调离制度承担相应的保密义务。</w:t>
      </w:r>
    </w:p>
    <w:p w14:paraId="75B7E1C4">
      <w:pPr>
        <w:ind w:firstLine="480"/>
        <w:rPr>
          <w:rFonts w:hint="eastAsia"/>
        </w:rPr>
      </w:pPr>
      <w:r>
        <w:rPr>
          <w:rFonts w:hint="eastAsia"/>
        </w:rPr>
        <w:t>（三）实施</w:t>
      </w:r>
    </w:p>
    <w:p w14:paraId="75B7E1C5">
      <w:pPr>
        <w:ind w:firstLine="480"/>
        <w:rPr>
          <w:rFonts w:hint="eastAsia"/>
        </w:rPr>
      </w:pPr>
      <w:r>
        <w:rPr>
          <w:rFonts w:hint="eastAsia"/>
        </w:rPr>
        <w:t>完成密码应用方案编制后，用户单位可以委托密评机构对本方案进行评估，评估通过后，将本系统密码应用改造方案向用户单位所属地密码管理部门备案，并同步对信息系统进行密码应用改造，选用通过检测认证合格的商用密码产品，合规、正确、有效地建设密码保障系统。</w:t>
      </w:r>
    </w:p>
    <w:p w14:paraId="75B7E1C6">
      <w:pPr>
        <w:ind w:firstLine="480"/>
        <w:rPr>
          <w:rFonts w:hint="eastAsia"/>
        </w:rPr>
      </w:pPr>
      <w:r>
        <w:rPr>
          <w:rFonts w:hint="eastAsia"/>
        </w:rPr>
        <w:t>依据评估通过的密码应用方案改造完成后，用户单位可以委托密评机构对信息系统进行密评，密评通过后上线运行，上线运行后，每年对本系统进行一次密码应用安全性评估，并根据评估意见进行整改。当本系统在运行过程中发现重大密码应用安全隐患时，将停止系统运行，制定整改方案，按照整改方案对系统进行整改和密码应用安全性评估，评估通过后重新上线运行。</w:t>
      </w:r>
    </w:p>
    <w:p w14:paraId="75B7E1C7">
      <w:pPr>
        <w:ind w:firstLine="480"/>
        <w:rPr>
          <w:rFonts w:hint="eastAsia"/>
        </w:rPr>
      </w:pPr>
      <w:r>
        <w:rPr>
          <w:rFonts w:hint="eastAsia"/>
        </w:rPr>
        <w:t>（四）应急</w:t>
      </w:r>
    </w:p>
    <w:p w14:paraId="75B7E1C8">
      <w:pPr>
        <w:ind w:firstLine="480"/>
        <w:rPr>
          <w:rFonts w:hint="eastAsia"/>
        </w:rPr>
      </w:pPr>
      <w:r>
        <w:rPr>
          <w:rFonts w:hint="eastAsia"/>
        </w:rPr>
        <w:t>根据《信息安全技术信息系统密码应用基本要求》中安全管理应急方面的要求，对信息系统现有的应急管理制度进行完善，补充制定密码相关应急处置预案，并做好应急资源准备，明确密码安全事件处理流程及其他管理措施；针对密码安全方面的应急响应措施包括：当信息系统发生密码相关安全事件时，在事发后3小时内向用户主管单位进行报告；在事件处置完成后2个工作日内，向用户主管单位汇报安全事件发生情况及处置情况。</w:t>
      </w:r>
    </w:p>
    <w:p w14:paraId="75B7E1C9">
      <w:pPr>
        <w:ind w:firstLine="480"/>
        <w:rPr>
          <w:rFonts w:hint="eastAsia"/>
        </w:rPr>
      </w:pPr>
      <w:r>
        <w:rPr>
          <w:rFonts w:hint="eastAsia"/>
        </w:rPr>
        <w:t>二、密码运维体系设计</w:t>
      </w:r>
    </w:p>
    <w:p w14:paraId="75B7E1CA">
      <w:pPr>
        <w:ind w:firstLine="480"/>
        <w:rPr>
          <w:rFonts w:hint="eastAsia"/>
        </w:rPr>
      </w:pPr>
      <w:r>
        <w:rPr>
          <w:rFonts w:hint="eastAsia"/>
        </w:rPr>
        <w:t>密码运维应包括密码产品的运维和应用系统密码运维。</w:t>
      </w:r>
    </w:p>
    <w:p w14:paraId="75B7E1CB">
      <w:pPr>
        <w:ind w:firstLine="480"/>
        <w:rPr>
          <w:rFonts w:hint="eastAsia"/>
        </w:rPr>
      </w:pPr>
      <w:r>
        <w:rPr>
          <w:rFonts w:hint="eastAsia"/>
        </w:rPr>
        <w:t>密码产品安全运维主要包括：</w:t>
      </w:r>
    </w:p>
    <w:p w14:paraId="75B7E1CC">
      <w:pPr>
        <w:ind w:firstLine="480"/>
        <w:rPr>
          <w:rFonts w:hint="eastAsia"/>
        </w:rPr>
      </w:pPr>
      <w:r>
        <w:rPr>
          <w:rFonts w:hint="eastAsia"/>
        </w:rPr>
        <w:t>密码软硬件产品维护人员需经过培训，取得相关资质才能上岗，并需严格按照维护规范和使用说明开展维护工作。</w:t>
      </w:r>
    </w:p>
    <w:p w14:paraId="75B7E1CD">
      <w:pPr>
        <w:ind w:firstLine="480"/>
        <w:rPr>
          <w:rFonts w:hint="eastAsia"/>
        </w:rPr>
      </w:pPr>
      <w:r>
        <w:rPr>
          <w:rFonts w:hint="eastAsia"/>
        </w:rPr>
        <w:t>密码软硬件产品应当按照要求定期完成设备巡检、升级和维保工作，至少每半年集中检查一次，密码设备操作必须经过授权，且不得接入互联网和其他公共网络访问。</w:t>
      </w:r>
    </w:p>
    <w:p w14:paraId="75B7E1CE">
      <w:pPr>
        <w:ind w:firstLine="480"/>
        <w:rPr>
          <w:rFonts w:hint="eastAsia"/>
        </w:rPr>
      </w:pPr>
      <w:r>
        <w:rPr>
          <w:rFonts w:hint="eastAsia"/>
        </w:rPr>
        <w:t>建立密码软硬件产品故障和应急保障机制，定期开展应急演练，确保设备发生故障时能及时恢复。</w:t>
      </w:r>
    </w:p>
    <w:p w14:paraId="75B7E1CF">
      <w:pPr>
        <w:ind w:firstLine="480"/>
        <w:rPr>
          <w:rFonts w:hint="eastAsia"/>
        </w:rPr>
      </w:pPr>
      <w:r>
        <w:rPr>
          <w:rFonts w:hint="eastAsia"/>
        </w:rPr>
        <w:t>加强密码软硬件产品的日常监控，评估系统安全风险，及时进行扩容和升级。</w:t>
      </w:r>
    </w:p>
    <w:p w14:paraId="75B7E1D0">
      <w:pPr>
        <w:ind w:firstLine="480"/>
        <w:rPr>
          <w:rFonts w:hint="eastAsia"/>
        </w:rPr>
      </w:pPr>
      <w:r>
        <w:rPr>
          <w:rFonts w:hint="eastAsia"/>
        </w:rPr>
        <w:t>应用系统密码安全运维应定期进行巡检、升级和维护，同时持续对维护人员进行培训。</w:t>
      </w:r>
    </w:p>
    <w:p w14:paraId="75B7E1D1">
      <w:pPr>
        <w:pStyle w:val="4"/>
        <w:rPr>
          <w:rFonts w:hint="eastAsia"/>
        </w:rPr>
      </w:pPr>
      <w:bookmarkStart w:id="190" w:name="_Toc11524"/>
      <w:r>
        <w:rPr>
          <w:rFonts w:hint="eastAsia"/>
        </w:rPr>
        <w:t>安全与合规性分析</w:t>
      </w:r>
      <w:bookmarkEnd w:id="190"/>
    </w:p>
    <w:p w14:paraId="75B7E1D2">
      <w:pPr>
        <w:ind w:firstLine="480"/>
        <w:rPr>
          <w:rFonts w:hint="eastAsia"/>
        </w:rPr>
      </w:pPr>
      <w:r>
        <w:rPr>
          <w:rFonts w:hint="eastAsia"/>
        </w:rPr>
        <w:t>本项目的安全与合规性对标如下表所示。</w:t>
      </w:r>
    </w:p>
    <w:tbl>
      <w:tblPr>
        <w:tblStyle w:val="38"/>
        <w:tblpPr w:leftFromText="180" w:rightFromText="180" w:vertAnchor="text" w:horzAnchor="page" w:tblpX="1847" w:tblpY="352"/>
        <w:tblOverlap w:val="never"/>
        <w:tblW w:w="4873" w:type="pct"/>
        <w:tblInd w:w="0" w:type="dxa"/>
        <w:tblLayout w:type="autofit"/>
        <w:tblCellMar>
          <w:top w:w="0" w:type="dxa"/>
          <w:left w:w="108" w:type="dxa"/>
          <w:bottom w:w="0" w:type="dxa"/>
          <w:right w:w="108" w:type="dxa"/>
        </w:tblCellMar>
      </w:tblPr>
      <w:tblGrid>
        <w:gridCol w:w="588"/>
        <w:gridCol w:w="426"/>
        <w:gridCol w:w="1064"/>
        <w:gridCol w:w="1496"/>
        <w:gridCol w:w="3531"/>
        <w:gridCol w:w="996"/>
      </w:tblGrid>
      <w:tr w14:paraId="166CA088">
        <w:tblPrEx>
          <w:tblCellMar>
            <w:top w:w="0" w:type="dxa"/>
            <w:left w:w="108" w:type="dxa"/>
            <w:bottom w:w="0" w:type="dxa"/>
            <w:right w:w="108" w:type="dxa"/>
          </w:tblCellMar>
        </w:tblPrEx>
        <w:trPr>
          <w:cantSplit/>
        </w:trPr>
        <w:tc>
          <w:tcPr>
            <w:tcW w:w="364" w:type="pct"/>
            <w:tcBorders>
              <w:top w:val="single" w:color="auto" w:sz="4" w:space="0"/>
              <w:left w:val="single" w:color="auto" w:sz="4" w:space="0"/>
              <w:bottom w:val="single" w:color="auto" w:sz="4" w:space="0"/>
              <w:right w:val="single" w:color="auto" w:sz="4" w:space="0"/>
            </w:tcBorders>
            <w:vAlign w:val="center"/>
          </w:tcPr>
          <w:p w14:paraId="3811A3F5">
            <w:pPr>
              <w:autoSpaceDE/>
              <w:autoSpaceDN/>
              <w:snapToGrid w:val="0"/>
              <w:spacing w:line="240" w:lineRule="auto"/>
              <w:ind w:firstLine="0" w:firstLineChars="0"/>
              <w:jc w:val="center"/>
              <w:rPr>
                <w:rFonts w:ascii="仿宋_GB2312" w:hAnsi="Times New Roman" w:cs="Times New Roman"/>
                <w:b/>
                <w:bCs/>
                <w:kern w:val="2"/>
                <w:sz w:val="21"/>
                <w:szCs w:val="21"/>
                <w:lang w:val="en-US" w:bidi="ar-SA"/>
              </w:rPr>
            </w:pPr>
            <w:r>
              <w:rPr>
                <w:rFonts w:hint="eastAsia" w:ascii="仿宋_GB2312" w:hAnsi="方正仿宋_GB2312" w:cs="方正仿宋_GB2312"/>
                <w:b/>
                <w:bCs/>
                <w:kern w:val="2"/>
                <w:sz w:val="21"/>
                <w:szCs w:val="21"/>
                <w:lang w:val="en-US" w:bidi="ar-SA"/>
              </w:rPr>
              <w:t>序号</w:t>
            </w:r>
          </w:p>
        </w:tc>
        <w:tc>
          <w:tcPr>
            <w:tcW w:w="1838" w:type="pct"/>
            <w:gridSpan w:val="3"/>
            <w:tcBorders>
              <w:top w:val="single" w:color="auto" w:sz="4" w:space="0"/>
              <w:left w:val="nil"/>
              <w:bottom w:val="single" w:color="auto" w:sz="4" w:space="0"/>
              <w:right w:val="single" w:color="auto" w:sz="4" w:space="0"/>
            </w:tcBorders>
            <w:vAlign w:val="center"/>
          </w:tcPr>
          <w:p w14:paraId="66A194BB">
            <w:pPr>
              <w:autoSpaceDE/>
              <w:autoSpaceDN/>
              <w:snapToGrid w:val="0"/>
              <w:spacing w:line="240" w:lineRule="auto"/>
              <w:ind w:firstLine="0" w:firstLineChars="0"/>
              <w:jc w:val="center"/>
              <w:rPr>
                <w:rFonts w:ascii="仿宋_GB2312" w:hAnsi="Times New Roman" w:cs="Times New Roman"/>
                <w:b/>
                <w:bCs/>
                <w:kern w:val="2"/>
                <w:sz w:val="21"/>
                <w:szCs w:val="21"/>
                <w:lang w:val="en-US" w:bidi="ar-SA"/>
              </w:rPr>
            </w:pPr>
            <w:r>
              <w:rPr>
                <w:rFonts w:hint="eastAsia" w:ascii="仿宋_GB2312" w:hAnsi="方正仿宋_GB2312" w:cs="方正仿宋_GB2312"/>
                <w:b/>
                <w:bCs/>
                <w:kern w:val="2"/>
                <w:sz w:val="21"/>
                <w:szCs w:val="21"/>
                <w:lang w:val="en-US" w:bidi="ar-SA"/>
              </w:rPr>
              <w:t>测评单元</w:t>
            </w:r>
          </w:p>
        </w:tc>
        <w:tc>
          <w:tcPr>
            <w:tcW w:w="2180" w:type="pct"/>
            <w:tcBorders>
              <w:top w:val="single" w:color="auto" w:sz="4" w:space="0"/>
              <w:left w:val="nil"/>
              <w:bottom w:val="single" w:color="auto" w:sz="4" w:space="0"/>
              <w:right w:val="single" w:color="auto" w:sz="4" w:space="0"/>
            </w:tcBorders>
            <w:vAlign w:val="center"/>
          </w:tcPr>
          <w:p w14:paraId="57AD71A3">
            <w:pPr>
              <w:autoSpaceDE/>
              <w:autoSpaceDN/>
              <w:snapToGrid w:val="0"/>
              <w:spacing w:line="240" w:lineRule="auto"/>
              <w:ind w:firstLine="0" w:firstLineChars="0"/>
              <w:jc w:val="center"/>
              <w:rPr>
                <w:rFonts w:ascii="仿宋_GB2312" w:hAnsi="Times New Roman" w:cs="Times New Roman"/>
                <w:b/>
                <w:bCs/>
                <w:kern w:val="2"/>
                <w:sz w:val="21"/>
                <w:szCs w:val="21"/>
                <w:lang w:val="en-US" w:bidi="ar-SA"/>
              </w:rPr>
            </w:pPr>
            <w:r>
              <w:rPr>
                <w:rFonts w:hint="eastAsia" w:ascii="仿宋_GB2312" w:hAnsi="方正仿宋_GB2312" w:cs="方正仿宋_GB2312"/>
                <w:b/>
                <w:bCs/>
                <w:kern w:val="2"/>
                <w:sz w:val="21"/>
                <w:szCs w:val="21"/>
                <w:lang w:val="en-US" w:bidi="ar-SA"/>
              </w:rPr>
              <w:t>采取措施</w:t>
            </w:r>
          </w:p>
        </w:tc>
        <w:tc>
          <w:tcPr>
            <w:tcW w:w="616" w:type="pct"/>
            <w:tcBorders>
              <w:top w:val="single" w:color="auto" w:sz="4" w:space="0"/>
              <w:left w:val="nil"/>
              <w:bottom w:val="single" w:color="auto" w:sz="4" w:space="0"/>
              <w:right w:val="single" w:color="auto" w:sz="4" w:space="0"/>
            </w:tcBorders>
            <w:vAlign w:val="center"/>
          </w:tcPr>
          <w:p w14:paraId="4AA62245">
            <w:pPr>
              <w:autoSpaceDE/>
              <w:autoSpaceDN/>
              <w:snapToGrid w:val="0"/>
              <w:spacing w:line="240" w:lineRule="auto"/>
              <w:ind w:firstLine="0" w:firstLineChars="0"/>
              <w:jc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kern w:val="2"/>
                <w:sz w:val="21"/>
                <w:szCs w:val="21"/>
                <w:lang w:val="en-US" w:bidi="ar-SA"/>
              </w:rPr>
              <w:t>标准符合性</w:t>
            </w:r>
          </w:p>
          <w:p w14:paraId="7514A02C">
            <w:pPr>
              <w:autoSpaceDE/>
              <w:autoSpaceDN/>
              <w:snapToGrid w:val="0"/>
              <w:spacing w:line="240" w:lineRule="auto"/>
              <w:ind w:firstLine="0" w:firstLineChars="0"/>
              <w:jc w:val="center"/>
              <w:rPr>
                <w:rFonts w:ascii="仿宋_GB2312" w:hAnsi="Times New Roman" w:cs="Times New Roman"/>
                <w:b/>
                <w:bCs/>
                <w:kern w:val="2"/>
                <w:sz w:val="21"/>
                <w:szCs w:val="21"/>
                <w:lang w:val="en-US" w:bidi="ar-SA"/>
              </w:rPr>
            </w:pPr>
            <w:r>
              <w:rPr>
                <w:rFonts w:hint="eastAsia" w:ascii="仿宋_GB2312" w:hAnsi="方正仿宋_GB2312" w:cs="方正仿宋_GB2312"/>
                <w:b/>
                <w:bCs/>
                <w:kern w:val="2"/>
                <w:sz w:val="21"/>
                <w:szCs w:val="21"/>
                <w:lang w:val="en-US" w:bidi="ar-SA"/>
              </w:rPr>
              <w:t>（符合/不适用）</w:t>
            </w:r>
          </w:p>
        </w:tc>
      </w:tr>
      <w:tr w14:paraId="6EDB50D2">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0DEF620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w:t>
            </w:r>
          </w:p>
        </w:tc>
        <w:tc>
          <w:tcPr>
            <w:tcW w:w="256" w:type="pct"/>
            <w:vMerge w:val="restart"/>
            <w:tcBorders>
              <w:top w:val="nil"/>
              <w:left w:val="single" w:color="auto" w:sz="4" w:space="0"/>
              <w:bottom w:val="single" w:color="auto" w:sz="4" w:space="0"/>
              <w:right w:val="single" w:color="auto" w:sz="4" w:space="0"/>
            </w:tcBorders>
            <w:vAlign w:val="center"/>
          </w:tcPr>
          <w:p w14:paraId="6791A9A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技术要求</w:t>
            </w:r>
          </w:p>
        </w:tc>
        <w:tc>
          <w:tcPr>
            <w:tcW w:w="658" w:type="pct"/>
            <w:vMerge w:val="restart"/>
            <w:tcBorders>
              <w:top w:val="nil"/>
              <w:left w:val="single" w:color="auto" w:sz="4" w:space="0"/>
              <w:bottom w:val="single" w:color="auto" w:sz="4" w:space="0"/>
              <w:right w:val="single" w:color="auto" w:sz="4" w:space="0"/>
            </w:tcBorders>
            <w:vAlign w:val="center"/>
          </w:tcPr>
          <w:p w14:paraId="2846304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物理和环境安全</w:t>
            </w:r>
          </w:p>
        </w:tc>
        <w:tc>
          <w:tcPr>
            <w:tcW w:w="923" w:type="pct"/>
            <w:tcBorders>
              <w:top w:val="nil"/>
              <w:left w:val="nil"/>
              <w:bottom w:val="single" w:color="auto" w:sz="4" w:space="0"/>
              <w:right w:val="single" w:color="auto" w:sz="4" w:space="0"/>
            </w:tcBorders>
            <w:vAlign w:val="center"/>
          </w:tcPr>
          <w:p w14:paraId="3AB4C344">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身份鉴别</w:t>
            </w:r>
          </w:p>
        </w:tc>
        <w:tc>
          <w:tcPr>
            <w:tcW w:w="2180" w:type="pct"/>
            <w:tcBorders>
              <w:top w:val="nil"/>
              <w:left w:val="nil"/>
              <w:bottom w:val="single" w:color="auto" w:sz="4" w:space="0"/>
              <w:right w:val="single" w:color="auto" w:sz="4" w:space="0"/>
            </w:tcBorders>
            <w:vAlign w:val="center"/>
          </w:tcPr>
          <w:p w14:paraId="4589E945">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要求云服务商机房部署国密安全电子门禁系统，使用SM4算法进行密钥分散，实现门禁卡的一卡一密，基于SM4算法对人员身份进行鉴别，同时部署国密视频监控系统进行监控。</w:t>
            </w:r>
          </w:p>
        </w:tc>
        <w:tc>
          <w:tcPr>
            <w:tcW w:w="616" w:type="pct"/>
            <w:tcBorders>
              <w:top w:val="nil"/>
              <w:left w:val="nil"/>
              <w:bottom w:val="single" w:color="auto" w:sz="4" w:space="0"/>
              <w:right w:val="single" w:color="auto" w:sz="4" w:space="0"/>
            </w:tcBorders>
            <w:vAlign w:val="center"/>
          </w:tcPr>
          <w:p w14:paraId="5ADA2FD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0E91FBC9">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237D238">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w:t>
            </w:r>
          </w:p>
        </w:tc>
        <w:tc>
          <w:tcPr>
            <w:tcW w:w="256" w:type="pct"/>
            <w:vMerge w:val="continue"/>
            <w:tcBorders>
              <w:top w:val="nil"/>
              <w:left w:val="single" w:color="auto" w:sz="4" w:space="0"/>
              <w:bottom w:val="single" w:color="auto" w:sz="4" w:space="0"/>
              <w:right w:val="single" w:color="auto" w:sz="4" w:space="0"/>
            </w:tcBorders>
            <w:vAlign w:val="center"/>
          </w:tcPr>
          <w:p w14:paraId="7447B850">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856E379">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4F091B93">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电子门禁记录数据存储完整性</w:t>
            </w:r>
          </w:p>
        </w:tc>
        <w:tc>
          <w:tcPr>
            <w:tcW w:w="2180" w:type="pct"/>
            <w:tcBorders>
              <w:top w:val="nil"/>
              <w:left w:val="nil"/>
              <w:bottom w:val="single" w:color="auto" w:sz="4" w:space="0"/>
              <w:right w:val="single" w:color="auto" w:sz="4" w:space="0"/>
            </w:tcBorders>
            <w:vAlign w:val="center"/>
          </w:tcPr>
          <w:p w14:paraId="35DA02F6">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要求云服务商使用HMAC-SM3技术对电子门禁系统进出记录数据进行完整性保护。</w:t>
            </w:r>
          </w:p>
        </w:tc>
        <w:tc>
          <w:tcPr>
            <w:tcW w:w="616" w:type="pct"/>
            <w:tcBorders>
              <w:top w:val="nil"/>
              <w:left w:val="nil"/>
              <w:bottom w:val="single" w:color="auto" w:sz="4" w:space="0"/>
              <w:right w:val="single" w:color="auto" w:sz="4" w:space="0"/>
            </w:tcBorders>
            <w:vAlign w:val="center"/>
          </w:tcPr>
          <w:p w14:paraId="0D332D3D">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1FD397B0">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035A3CBD">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w:t>
            </w:r>
          </w:p>
        </w:tc>
        <w:tc>
          <w:tcPr>
            <w:tcW w:w="256" w:type="pct"/>
            <w:vMerge w:val="continue"/>
            <w:tcBorders>
              <w:top w:val="nil"/>
              <w:left w:val="single" w:color="auto" w:sz="4" w:space="0"/>
              <w:bottom w:val="single" w:color="auto" w:sz="4" w:space="0"/>
              <w:right w:val="single" w:color="auto" w:sz="4" w:space="0"/>
            </w:tcBorders>
            <w:vAlign w:val="center"/>
          </w:tcPr>
          <w:p w14:paraId="2170D43A">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A1A0240">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232A827E">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视频监控记录数据存储完整性</w:t>
            </w:r>
          </w:p>
        </w:tc>
        <w:tc>
          <w:tcPr>
            <w:tcW w:w="2180" w:type="pct"/>
            <w:tcBorders>
              <w:top w:val="nil"/>
              <w:left w:val="nil"/>
              <w:bottom w:val="single" w:color="auto" w:sz="4" w:space="0"/>
              <w:right w:val="single" w:color="auto" w:sz="4" w:space="0"/>
            </w:tcBorders>
            <w:vAlign w:val="center"/>
          </w:tcPr>
          <w:p w14:paraId="38060145">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要求云服务商使用HMAC-SM3技术对视频监控系统视频记录等数据进行完整性保护。</w:t>
            </w:r>
          </w:p>
        </w:tc>
        <w:tc>
          <w:tcPr>
            <w:tcW w:w="616" w:type="pct"/>
            <w:tcBorders>
              <w:top w:val="nil"/>
              <w:left w:val="nil"/>
              <w:bottom w:val="single" w:color="auto" w:sz="4" w:space="0"/>
              <w:right w:val="single" w:color="auto" w:sz="4" w:space="0"/>
            </w:tcBorders>
            <w:vAlign w:val="center"/>
          </w:tcPr>
          <w:p w14:paraId="18A02EB8">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45A0DB89">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1F7D4E0D">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4</w:t>
            </w:r>
          </w:p>
        </w:tc>
        <w:tc>
          <w:tcPr>
            <w:tcW w:w="256" w:type="pct"/>
            <w:vMerge w:val="continue"/>
            <w:tcBorders>
              <w:top w:val="nil"/>
              <w:left w:val="single" w:color="auto" w:sz="4" w:space="0"/>
              <w:bottom w:val="single" w:color="auto" w:sz="4" w:space="0"/>
              <w:right w:val="single" w:color="auto" w:sz="4" w:space="0"/>
            </w:tcBorders>
            <w:vAlign w:val="center"/>
          </w:tcPr>
          <w:p w14:paraId="3B7474BF">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restart"/>
            <w:tcBorders>
              <w:top w:val="nil"/>
              <w:left w:val="single" w:color="auto" w:sz="4" w:space="0"/>
              <w:bottom w:val="single" w:color="auto" w:sz="4" w:space="0"/>
              <w:right w:val="single" w:color="auto" w:sz="4" w:space="0"/>
            </w:tcBorders>
            <w:vAlign w:val="center"/>
          </w:tcPr>
          <w:p w14:paraId="1145DD4C">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网络和通信安全</w:t>
            </w:r>
          </w:p>
        </w:tc>
        <w:tc>
          <w:tcPr>
            <w:tcW w:w="923" w:type="pct"/>
            <w:tcBorders>
              <w:top w:val="nil"/>
              <w:left w:val="nil"/>
              <w:bottom w:val="single" w:color="auto" w:sz="4" w:space="0"/>
              <w:right w:val="single" w:color="auto" w:sz="4" w:space="0"/>
            </w:tcBorders>
            <w:vAlign w:val="center"/>
          </w:tcPr>
          <w:p w14:paraId="28E85E2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身份鉴别</w:t>
            </w:r>
          </w:p>
        </w:tc>
        <w:tc>
          <w:tcPr>
            <w:tcW w:w="2180" w:type="pct"/>
            <w:tcBorders>
              <w:top w:val="nil"/>
              <w:left w:val="nil"/>
              <w:bottom w:val="single" w:color="auto" w:sz="4" w:space="0"/>
              <w:right w:val="single" w:color="auto" w:sz="4" w:space="0"/>
            </w:tcBorders>
            <w:vAlign w:val="center"/>
          </w:tcPr>
          <w:p w14:paraId="413B2F7F">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通过密码安全服务中具有商用产品认证证书的SSLVPN，对通信实体进行身份鉴别，保证通信实体身份的真实性。</w:t>
            </w:r>
          </w:p>
        </w:tc>
        <w:tc>
          <w:tcPr>
            <w:tcW w:w="616" w:type="pct"/>
            <w:tcBorders>
              <w:top w:val="nil"/>
              <w:left w:val="nil"/>
              <w:bottom w:val="single" w:color="auto" w:sz="4" w:space="0"/>
              <w:right w:val="single" w:color="auto" w:sz="4" w:space="0"/>
            </w:tcBorders>
            <w:vAlign w:val="center"/>
          </w:tcPr>
          <w:p w14:paraId="4CBA8C4A">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722508A6">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5D263A3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5</w:t>
            </w:r>
          </w:p>
        </w:tc>
        <w:tc>
          <w:tcPr>
            <w:tcW w:w="256" w:type="pct"/>
            <w:vMerge w:val="continue"/>
            <w:tcBorders>
              <w:top w:val="nil"/>
              <w:left w:val="single" w:color="auto" w:sz="4" w:space="0"/>
              <w:bottom w:val="single" w:color="auto" w:sz="4" w:space="0"/>
              <w:right w:val="single" w:color="auto" w:sz="4" w:space="0"/>
            </w:tcBorders>
            <w:vAlign w:val="center"/>
          </w:tcPr>
          <w:p w14:paraId="32F33BD2">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20E5EE9F">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103ED493">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通信数据完整性</w:t>
            </w:r>
          </w:p>
        </w:tc>
        <w:tc>
          <w:tcPr>
            <w:tcW w:w="2180" w:type="pct"/>
            <w:tcBorders>
              <w:top w:val="nil"/>
              <w:left w:val="nil"/>
              <w:bottom w:val="single" w:color="auto" w:sz="4" w:space="0"/>
              <w:right w:val="single" w:color="auto" w:sz="4" w:space="0"/>
            </w:tcBorders>
            <w:vAlign w:val="center"/>
          </w:tcPr>
          <w:p w14:paraId="4FFAE997">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通过云密码安全服务中具有商用产品认证证书的SSLVPN，对通信数据进行完整性保护。</w:t>
            </w:r>
          </w:p>
        </w:tc>
        <w:tc>
          <w:tcPr>
            <w:tcW w:w="616" w:type="pct"/>
            <w:tcBorders>
              <w:top w:val="nil"/>
              <w:left w:val="nil"/>
              <w:bottom w:val="single" w:color="auto" w:sz="4" w:space="0"/>
              <w:right w:val="single" w:color="auto" w:sz="4" w:space="0"/>
            </w:tcBorders>
            <w:vAlign w:val="center"/>
          </w:tcPr>
          <w:p w14:paraId="45671DB8">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6325AA1E">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41CA0CD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6</w:t>
            </w:r>
          </w:p>
        </w:tc>
        <w:tc>
          <w:tcPr>
            <w:tcW w:w="256" w:type="pct"/>
            <w:vMerge w:val="continue"/>
            <w:tcBorders>
              <w:top w:val="nil"/>
              <w:left w:val="single" w:color="auto" w:sz="4" w:space="0"/>
              <w:bottom w:val="single" w:color="auto" w:sz="4" w:space="0"/>
              <w:right w:val="single" w:color="auto" w:sz="4" w:space="0"/>
            </w:tcBorders>
            <w:vAlign w:val="center"/>
          </w:tcPr>
          <w:p w14:paraId="6325E110">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63564101">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36ADE24B">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通信过程中重要数据的机密性</w:t>
            </w:r>
          </w:p>
        </w:tc>
        <w:tc>
          <w:tcPr>
            <w:tcW w:w="2180" w:type="pct"/>
            <w:tcBorders>
              <w:top w:val="nil"/>
              <w:left w:val="nil"/>
              <w:bottom w:val="single" w:color="auto" w:sz="4" w:space="0"/>
              <w:right w:val="single" w:color="auto" w:sz="4" w:space="0"/>
            </w:tcBorders>
            <w:vAlign w:val="center"/>
          </w:tcPr>
          <w:p w14:paraId="16458972">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通过云密码安全服务中具有商用产品认证证书的SSLVPN，对通信过程中的企业、法人等数据进行完整性保护。</w:t>
            </w:r>
          </w:p>
        </w:tc>
        <w:tc>
          <w:tcPr>
            <w:tcW w:w="616" w:type="pct"/>
            <w:tcBorders>
              <w:top w:val="nil"/>
              <w:left w:val="nil"/>
              <w:bottom w:val="single" w:color="auto" w:sz="4" w:space="0"/>
              <w:right w:val="single" w:color="auto" w:sz="4" w:space="0"/>
            </w:tcBorders>
            <w:vAlign w:val="center"/>
          </w:tcPr>
          <w:p w14:paraId="17A1E572">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62A01AD8">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6036EB12">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7</w:t>
            </w:r>
          </w:p>
        </w:tc>
        <w:tc>
          <w:tcPr>
            <w:tcW w:w="256" w:type="pct"/>
            <w:vMerge w:val="continue"/>
            <w:tcBorders>
              <w:top w:val="nil"/>
              <w:left w:val="single" w:color="auto" w:sz="4" w:space="0"/>
              <w:bottom w:val="single" w:color="auto" w:sz="4" w:space="0"/>
              <w:right w:val="single" w:color="auto" w:sz="4" w:space="0"/>
            </w:tcBorders>
            <w:vAlign w:val="center"/>
          </w:tcPr>
          <w:p w14:paraId="6C0A33E6">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1E8D4F79">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43EEBE9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网络边界访问控制信息的完整性</w:t>
            </w:r>
          </w:p>
        </w:tc>
        <w:tc>
          <w:tcPr>
            <w:tcW w:w="2180" w:type="pct"/>
            <w:tcBorders>
              <w:top w:val="nil"/>
              <w:left w:val="nil"/>
              <w:bottom w:val="single" w:color="auto" w:sz="4" w:space="0"/>
              <w:right w:val="single" w:color="auto" w:sz="4" w:space="0"/>
            </w:tcBorders>
            <w:vAlign w:val="center"/>
          </w:tcPr>
          <w:p w14:paraId="41DF1E2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通过云密码安全服务中具有商用产品认证证书的SSLVPN，访问控制完整性采用设备自身的安全机制进行安全防护。</w:t>
            </w:r>
          </w:p>
        </w:tc>
        <w:tc>
          <w:tcPr>
            <w:tcW w:w="616" w:type="pct"/>
            <w:tcBorders>
              <w:top w:val="nil"/>
              <w:left w:val="nil"/>
              <w:bottom w:val="single" w:color="auto" w:sz="4" w:space="0"/>
              <w:right w:val="single" w:color="auto" w:sz="4" w:space="0"/>
            </w:tcBorders>
            <w:vAlign w:val="center"/>
          </w:tcPr>
          <w:p w14:paraId="389018D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76807301">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6BF1F2EA">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8</w:t>
            </w:r>
          </w:p>
        </w:tc>
        <w:tc>
          <w:tcPr>
            <w:tcW w:w="256" w:type="pct"/>
            <w:vMerge w:val="continue"/>
            <w:tcBorders>
              <w:top w:val="nil"/>
              <w:left w:val="single" w:color="auto" w:sz="4" w:space="0"/>
              <w:bottom w:val="single" w:color="auto" w:sz="4" w:space="0"/>
              <w:right w:val="single" w:color="auto" w:sz="4" w:space="0"/>
            </w:tcBorders>
            <w:vAlign w:val="center"/>
          </w:tcPr>
          <w:p w14:paraId="5F7694E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B6E3B11">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3C9153A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安全接入认证</w:t>
            </w:r>
          </w:p>
        </w:tc>
        <w:tc>
          <w:tcPr>
            <w:tcW w:w="2180" w:type="pct"/>
            <w:tcBorders>
              <w:top w:val="nil"/>
              <w:left w:val="nil"/>
              <w:bottom w:val="single" w:color="auto" w:sz="4" w:space="0"/>
              <w:right w:val="single" w:color="auto" w:sz="4" w:space="0"/>
            </w:tcBorders>
            <w:vAlign w:val="center"/>
          </w:tcPr>
          <w:p w14:paraId="3F96E037">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w:t>
            </w:r>
          </w:p>
        </w:tc>
        <w:tc>
          <w:tcPr>
            <w:tcW w:w="616" w:type="pct"/>
            <w:tcBorders>
              <w:top w:val="nil"/>
              <w:left w:val="nil"/>
              <w:bottom w:val="single" w:color="auto" w:sz="4" w:space="0"/>
              <w:right w:val="single" w:color="auto" w:sz="4" w:space="0"/>
            </w:tcBorders>
            <w:vAlign w:val="center"/>
          </w:tcPr>
          <w:p w14:paraId="3824503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不适用</w:t>
            </w:r>
          </w:p>
        </w:tc>
      </w:tr>
      <w:tr w14:paraId="4BFB5B16">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77292C1C">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9</w:t>
            </w:r>
          </w:p>
        </w:tc>
        <w:tc>
          <w:tcPr>
            <w:tcW w:w="256" w:type="pct"/>
            <w:vMerge w:val="continue"/>
            <w:tcBorders>
              <w:top w:val="nil"/>
              <w:left w:val="single" w:color="auto" w:sz="4" w:space="0"/>
              <w:bottom w:val="single" w:color="auto" w:sz="4" w:space="0"/>
              <w:right w:val="single" w:color="auto" w:sz="4" w:space="0"/>
            </w:tcBorders>
            <w:vAlign w:val="center"/>
          </w:tcPr>
          <w:p w14:paraId="32DCDEDA">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restart"/>
            <w:tcBorders>
              <w:top w:val="nil"/>
              <w:left w:val="single" w:color="auto" w:sz="4" w:space="0"/>
              <w:bottom w:val="single" w:color="auto" w:sz="4" w:space="0"/>
              <w:right w:val="single" w:color="auto" w:sz="4" w:space="0"/>
            </w:tcBorders>
            <w:vAlign w:val="center"/>
          </w:tcPr>
          <w:p w14:paraId="709DACE1">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设备和计算安全</w:t>
            </w:r>
          </w:p>
        </w:tc>
        <w:tc>
          <w:tcPr>
            <w:tcW w:w="923" w:type="pct"/>
            <w:tcBorders>
              <w:top w:val="nil"/>
              <w:left w:val="nil"/>
              <w:bottom w:val="single" w:color="auto" w:sz="4" w:space="0"/>
              <w:right w:val="single" w:color="auto" w:sz="4" w:space="0"/>
            </w:tcBorders>
            <w:vAlign w:val="center"/>
          </w:tcPr>
          <w:p w14:paraId="6808FDB7">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身份鉴别</w:t>
            </w:r>
          </w:p>
        </w:tc>
        <w:tc>
          <w:tcPr>
            <w:tcW w:w="2180" w:type="pct"/>
            <w:tcBorders>
              <w:top w:val="nil"/>
              <w:left w:val="nil"/>
              <w:bottom w:val="single" w:color="auto" w:sz="4" w:space="0"/>
              <w:right w:val="single" w:color="auto" w:sz="4" w:space="0"/>
            </w:tcBorders>
            <w:vAlign w:val="center"/>
          </w:tcPr>
          <w:p w14:paraId="359306DA">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通过云智能密码钥匙+数字证书符合商用密码产品检测标准，具备商用密码产品认证证书，用户信息的真实性采用设备自身的安全机制进行安全防护。</w:t>
            </w:r>
          </w:p>
        </w:tc>
        <w:tc>
          <w:tcPr>
            <w:tcW w:w="616" w:type="pct"/>
            <w:tcBorders>
              <w:top w:val="nil"/>
              <w:left w:val="nil"/>
              <w:bottom w:val="single" w:color="auto" w:sz="4" w:space="0"/>
              <w:right w:val="single" w:color="auto" w:sz="4" w:space="0"/>
            </w:tcBorders>
            <w:vAlign w:val="center"/>
          </w:tcPr>
          <w:p w14:paraId="3D6FBCE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4348D56C">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516402B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10</w:t>
            </w:r>
          </w:p>
        </w:tc>
        <w:tc>
          <w:tcPr>
            <w:tcW w:w="256" w:type="pct"/>
            <w:vMerge w:val="continue"/>
            <w:tcBorders>
              <w:top w:val="nil"/>
              <w:left w:val="single" w:color="auto" w:sz="4" w:space="0"/>
              <w:bottom w:val="single" w:color="auto" w:sz="4" w:space="0"/>
              <w:right w:val="single" w:color="auto" w:sz="4" w:space="0"/>
            </w:tcBorders>
            <w:vAlign w:val="center"/>
          </w:tcPr>
          <w:p w14:paraId="0712B0DA">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2C5D63E">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218371A3">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远程管理通道安全</w:t>
            </w:r>
          </w:p>
        </w:tc>
        <w:tc>
          <w:tcPr>
            <w:tcW w:w="2180" w:type="pct"/>
            <w:tcBorders>
              <w:top w:val="nil"/>
              <w:left w:val="nil"/>
              <w:bottom w:val="single" w:color="auto" w:sz="4" w:space="0"/>
              <w:right w:val="single" w:color="auto" w:sz="4" w:space="0"/>
            </w:tcBorders>
            <w:vAlign w:val="center"/>
          </w:tcPr>
          <w:p w14:paraId="146614EF">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通过云密码安全服务中的SSLVPN远程运维管理。在运维人员和堡垒机之间建立安全通道，堡垒机使用HTTPS协议以及合规的密码算法。</w:t>
            </w:r>
          </w:p>
        </w:tc>
        <w:tc>
          <w:tcPr>
            <w:tcW w:w="616" w:type="pct"/>
            <w:tcBorders>
              <w:top w:val="nil"/>
              <w:left w:val="nil"/>
              <w:bottom w:val="single" w:color="auto" w:sz="4" w:space="0"/>
              <w:right w:val="single" w:color="auto" w:sz="4" w:space="0"/>
            </w:tcBorders>
            <w:vAlign w:val="center"/>
          </w:tcPr>
          <w:p w14:paraId="7F050278">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0BB2FB1B">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3915C42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11</w:t>
            </w:r>
          </w:p>
        </w:tc>
        <w:tc>
          <w:tcPr>
            <w:tcW w:w="256" w:type="pct"/>
            <w:vMerge w:val="continue"/>
            <w:tcBorders>
              <w:top w:val="nil"/>
              <w:left w:val="single" w:color="auto" w:sz="4" w:space="0"/>
              <w:bottom w:val="single" w:color="auto" w:sz="4" w:space="0"/>
              <w:right w:val="single" w:color="auto" w:sz="4" w:space="0"/>
            </w:tcBorders>
            <w:vAlign w:val="center"/>
          </w:tcPr>
          <w:p w14:paraId="0538D37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3BF380BF">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3AD5FC7B">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系统资源访问控制信息完整性</w:t>
            </w:r>
          </w:p>
        </w:tc>
        <w:tc>
          <w:tcPr>
            <w:tcW w:w="2180" w:type="pct"/>
            <w:tcBorders>
              <w:top w:val="nil"/>
              <w:left w:val="nil"/>
              <w:bottom w:val="single" w:color="auto" w:sz="4" w:space="0"/>
              <w:right w:val="single" w:color="auto" w:sz="4" w:space="0"/>
            </w:tcBorders>
            <w:vAlign w:val="center"/>
          </w:tcPr>
          <w:p w14:paraId="47145163">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云密码安全服务符合商用密码产品检测标准，具备商用密码产品认证证书，系统资源访问控制信息的完整性采用设备自身的安全机制进行安全防护。</w:t>
            </w:r>
          </w:p>
        </w:tc>
        <w:tc>
          <w:tcPr>
            <w:tcW w:w="616" w:type="pct"/>
            <w:tcBorders>
              <w:top w:val="nil"/>
              <w:left w:val="nil"/>
              <w:bottom w:val="single" w:color="auto" w:sz="4" w:space="0"/>
              <w:right w:val="single" w:color="auto" w:sz="4" w:space="0"/>
            </w:tcBorders>
            <w:vAlign w:val="center"/>
          </w:tcPr>
          <w:p w14:paraId="3E61C48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7AF957DC">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1F350C92">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12</w:t>
            </w:r>
          </w:p>
        </w:tc>
        <w:tc>
          <w:tcPr>
            <w:tcW w:w="256" w:type="pct"/>
            <w:vMerge w:val="continue"/>
            <w:tcBorders>
              <w:top w:val="nil"/>
              <w:left w:val="single" w:color="auto" w:sz="4" w:space="0"/>
              <w:bottom w:val="single" w:color="auto" w:sz="4" w:space="0"/>
              <w:right w:val="single" w:color="auto" w:sz="4" w:space="0"/>
            </w:tcBorders>
            <w:vAlign w:val="center"/>
          </w:tcPr>
          <w:p w14:paraId="7DA5A5DF">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6BF5A95A">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278FB5A7">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重要信息资源安全标记完整性</w:t>
            </w:r>
          </w:p>
        </w:tc>
        <w:tc>
          <w:tcPr>
            <w:tcW w:w="2180" w:type="pct"/>
            <w:tcBorders>
              <w:top w:val="nil"/>
              <w:left w:val="nil"/>
              <w:bottom w:val="single" w:color="auto" w:sz="4" w:space="0"/>
              <w:right w:val="single" w:color="auto" w:sz="4" w:space="0"/>
            </w:tcBorders>
            <w:vAlign w:val="center"/>
          </w:tcPr>
          <w:p w14:paraId="6A654D86">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w:t>
            </w:r>
          </w:p>
        </w:tc>
        <w:tc>
          <w:tcPr>
            <w:tcW w:w="616" w:type="pct"/>
            <w:tcBorders>
              <w:top w:val="nil"/>
              <w:left w:val="nil"/>
              <w:bottom w:val="single" w:color="auto" w:sz="4" w:space="0"/>
              <w:right w:val="single" w:color="auto" w:sz="4" w:space="0"/>
            </w:tcBorders>
            <w:vAlign w:val="center"/>
          </w:tcPr>
          <w:p w14:paraId="2B38A0E2">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不适用</w:t>
            </w:r>
          </w:p>
        </w:tc>
      </w:tr>
      <w:tr w14:paraId="2BAE3FC1">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7A447DC9">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13</w:t>
            </w:r>
          </w:p>
        </w:tc>
        <w:tc>
          <w:tcPr>
            <w:tcW w:w="256" w:type="pct"/>
            <w:vMerge w:val="continue"/>
            <w:tcBorders>
              <w:top w:val="nil"/>
              <w:left w:val="single" w:color="auto" w:sz="4" w:space="0"/>
              <w:bottom w:val="single" w:color="auto" w:sz="4" w:space="0"/>
              <w:right w:val="single" w:color="auto" w:sz="4" w:space="0"/>
            </w:tcBorders>
            <w:vAlign w:val="center"/>
          </w:tcPr>
          <w:p w14:paraId="1487AED9">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48A2AA02">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48341E0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日志记录完整性</w:t>
            </w:r>
          </w:p>
        </w:tc>
        <w:tc>
          <w:tcPr>
            <w:tcW w:w="2180" w:type="pct"/>
            <w:tcBorders>
              <w:top w:val="nil"/>
              <w:left w:val="nil"/>
              <w:bottom w:val="single" w:color="auto" w:sz="4" w:space="0"/>
              <w:right w:val="single" w:color="auto" w:sz="4" w:space="0"/>
            </w:tcBorders>
            <w:vAlign w:val="center"/>
          </w:tcPr>
          <w:p w14:paraId="4F11CE0C">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通过云密码安全服务中具备商用密码产品认证证书的密钥管理+加解密，日志记录完整性采用设备自身的安全机制进行安全防护。</w:t>
            </w:r>
          </w:p>
        </w:tc>
        <w:tc>
          <w:tcPr>
            <w:tcW w:w="616" w:type="pct"/>
            <w:tcBorders>
              <w:top w:val="nil"/>
              <w:left w:val="nil"/>
              <w:bottom w:val="single" w:color="auto" w:sz="4" w:space="0"/>
              <w:right w:val="single" w:color="auto" w:sz="4" w:space="0"/>
            </w:tcBorders>
            <w:vAlign w:val="center"/>
          </w:tcPr>
          <w:p w14:paraId="32B2BFED">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3D0F18E6">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76227F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14</w:t>
            </w:r>
          </w:p>
        </w:tc>
        <w:tc>
          <w:tcPr>
            <w:tcW w:w="256" w:type="pct"/>
            <w:vMerge w:val="continue"/>
            <w:tcBorders>
              <w:top w:val="nil"/>
              <w:left w:val="single" w:color="auto" w:sz="4" w:space="0"/>
              <w:bottom w:val="single" w:color="auto" w:sz="4" w:space="0"/>
              <w:right w:val="single" w:color="auto" w:sz="4" w:space="0"/>
            </w:tcBorders>
            <w:vAlign w:val="center"/>
          </w:tcPr>
          <w:p w14:paraId="4D6B9FC4">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207ACAC0">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6B114FB4">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重要可执行程序完整性、重要可执行程序来源真实性</w:t>
            </w:r>
          </w:p>
        </w:tc>
        <w:tc>
          <w:tcPr>
            <w:tcW w:w="2180" w:type="pct"/>
            <w:tcBorders>
              <w:top w:val="nil"/>
              <w:left w:val="nil"/>
              <w:bottom w:val="single" w:color="auto" w:sz="4" w:space="0"/>
              <w:right w:val="single" w:color="auto" w:sz="4" w:space="0"/>
            </w:tcBorders>
            <w:vAlign w:val="center"/>
          </w:tcPr>
          <w:p w14:paraId="172E0A73">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w:t>
            </w:r>
          </w:p>
        </w:tc>
        <w:tc>
          <w:tcPr>
            <w:tcW w:w="616" w:type="pct"/>
            <w:tcBorders>
              <w:top w:val="nil"/>
              <w:left w:val="nil"/>
              <w:bottom w:val="single" w:color="auto" w:sz="4" w:space="0"/>
              <w:right w:val="single" w:color="auto" w:sz="4" w:space="0"/>
            </w:tcBorders>
            <w:vAlign w:val="center"/>
          </w:tcPr>
          <w:p w14:paraId="60E028D0">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不适用</w:t>
            </w:r>
          </w:p>
        </w:tc>
      </w:tr>
      <w:tr w14:paraId="65243C04">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2477D44">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15</w:t>
            </w:r>
          </w:p>
        </w:tc>
        <w:tc>
          <w:tcPr>
            <w:tcW w:w="256" w:type="pct"/>
            <w:vMerge w:val="continue"/>
            <w:tcBorders>
              <w:top w:val="nil"/>
              <w:left w:val="single" w:color="auto" w:sz="4" w:space="0"/>
              <w:bottom w:val="single" w:color="auto" w:sz="4" w:space="0"/>
              <w:right w:val="single" w:color="auto" w:sz="4" w:space="0"/>
            </w:tcBorders>
            <w:vAlign w:val="center"/>
          </w:tcPr>
          <w:p w14:paraId="2378A66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restart"/>
            <w:tcBorders>
              <w:top w:val="nil"/>
              <w:left w:val="single" w:color="auto" w:sz="4" w:space="0"/>
              <w:bottom w:val="single" w:color="auto" w:sz="4" w:space="0"/>
              <w:right w:val="single" w:color="auto" w:sz="4" w:space="0"/>
            </w:tcBorders>
            <w:vAlign w:val="center"/>
          </w:tcPr>
          <w:p w14:paraId="1F7134B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应用和数据安全</w:t>
            </w:r>
          </w:p>
        </w:tc>
        <w:tc>
          <w:tcPr>
            <w:tcW w:w="923" w:type="pct"/>
            <w:tcBorders>
              <w:top w:val="nil"/>
              <w:left w:val="nil"/>
              <w:bottom w:val="single" w:color="auto" w:sz="4" w:space="0"/>
              <w:right w:val="single" w:color="auto" w:sz="4" w:space="0"/>
            </w:tcBorders>
            <w:vAlign w:val="center"/>
          </w:tcPr>
          <w:p w14:paraId="458009DC">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身份鉴别</w:t>
            </w:r>
          </w:p>
        </w:tc>
        <w:tc>
          <w:tcPr>
            <w:tcW w:w="2180" w:type="pct"/>
            <w:tcBorders>
              <w:top w:val="nil"/>
              <w:left w:val="nil"/>
              <w:bottom w:val="single" w:color="auto" w:sz="4" w:space="0"/>
              <w:right w:val="single" w:color="auto" w:sz="4" w:space="0"/>
            </w:tcBorders>
            <w:vAlign w:val="center"/>
          </w:tcPr>
          <w:p w14:paraId="6B1232D5">
            <w:pPr>
              <w:autoSpaceDE/>
              <w:autoSpaceDN/>
              <w:snapToGrid w:val="0"/>
              <w:spacing w:line="240" w:lineRule="auto"/>
              <w:ind w:firstLine="0" w:firstLineChars="0"/>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在业务办公区PC端部署安全浏览器，通过云密码安全服务中的SSLVPN，并向用户配发智能密码钥匙+数字证书，实现对PC端登录用户的安全身份鉴别。</w:t>
            </w:r>
          </w:p>
          <w:p w14:paraId="269A11B2">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在移动端APP中部署移动证书手机盾+移动证书的移动端认证，在外部数据中心通过云密码安全服务中的SSLVPN及软件密码模块，通过证书认证系统分别向移动证书手机盾+移动证书、安全认证网关配置数字证书，实现移动端登录应用用户的安全身份鉴别。</w:t>
            </w:r>
          </w:p>
        </w:tc>
        <w:tc>
          <w:tcPr>
            <w:tcW w:w="616" w:type="pct"/>
            <w:tcBorders>
              <w:top w:val="nil"/>
              <w:left w:val="nil"/>
              <w:bottom w:val="single" w:color="auto" w:sz="4" w:space="0"/>
              <w:right w:val="single" w:color="auto" w:sz="4" w:space="0"/>
            </w:tcBorders>
            <w:vAlign w:val="center"/>
          </w:tcPr>
          <w:p w14:paraId="4EA4E10D">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1234492C">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512BE69F">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16</w:t>
            </w:r>
          </w:p>
        </w:tc>
        <w:tc>
          <w:tcPr>
            <w:tcW w:w="256" w:type="pct"/>
            <w:vMerge w:val="continue"/>
            <w:tcBorders>
              <w:top w:val="nil"/>
              <w:left w:val="single" w:color="auto" w:sz="4" w:space="0"/>
              <w:bottom w:val="single" w:color="auto" w:sz="4" w:space="0"/>
              <w:right w:val="single" w:color="auto" w:sz="4" w:space="0"/>
            </w:tcBorders>
            <w:vAlign w:val="center"/>
          </w:tcPr>
          <w:p w14:paraId="3AF1811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5D933C94">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1BEE01DB">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访问控制信息完整性</w:t>
            </w:r>
          </w:p>
        </w:tc>
        <w:tc>
          <w:tcPr>
            <w:tcW w:w="2180" w:type="pct"/>
            <w:tcBorders>
              <w:top w:val="nil"/>
              <w:left w:val="nil"/>
              <w:bottom w:val="single" w:color="auto" w:sz="4" w:space="0"/>
              <w:right w:val="single" w:color="auto" w:sz="4" w:space="0"/>
            </w:tcBorders>
            <w:vAlign w:val="center"/>
          </w:tcPr>
          <w:p w14:paraId="1F37C900">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通过云密码安全服务中具有商用产品认证证书的签名验签，使用SM3杂凑和SM2非对称密码算法对系统访问控制信息进行数字签名，保证信息的完整性。</w:t>
            </w:r>
          </w:p>
        </w:tc>
        <w:tc>
          <w:tcPr>
            <w:tcW w:w="616" w:type="pct"/>
            <w:tcBorders>
              <w:top w:val="nil"/>
              <w:left w:val="nil"/>
              <w:bottom w:val="single" w:color="auto" w:sz="4" w:space="0"/>
              <w:right w:val="single" w:color="auto" w:sz="4" w:space="0"/>
            </w:tcBorders>
            <w:vAlign w:val="center"/>
          </w:tcPr>
          <w:p w14:paraId="2E8B6459">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5124151C">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96AD360">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17</w:t>
            </w:r>
          </w:p>
        </w:tc>
        <w:tc>
          <w:tcPr>
            <w:tcW w:w="256" w:type="pct"/>
            <w:vMerge w:val="continue"/>
            <w:tcBorders>
              <w:top w:val="nil"/>
              <w:left w:val="single" w:color="auto" w:sz="4" w:space="0"/>
              <w:bottom w:val="single" w:color="auto" w:sz="4" w:space="0"/>
              <w:right w:val="single" w:color="auto" w:sz="4" w:space="0"/>
            </w:tcBorders>
            <w:vAlign w:val="center"/>
          </w:tcPr>
          <w:p w14:paraId="3C69D051">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631A7E1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0FE2CD60">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重要信息资源安全标记完整性</w:t>
            </w:r>
          </w:p>
        </w:tc>
        <w:tc>
          <w:tcPr>
            <w:tcW w:w="2180" w:type="pct"/>
            <w:tcBorders>
              <w:top w:val="nil"/>
              <w:left w:val="nil"/>
              <w:bottom w:val="single" w:color="auto" w:sz="4" w:space="0"/>
              <w:right w:val="single" w:color="auto" w:sz="4" w:space="0"/>
            </w:tcBorders>
            <w:vAlign w:val="center"/>
          </w:tcPr>
          <w:p w14:paraId="4CC3581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w:t>
            </w:r>
          </w:p>
        </w:tc>
        <w:tc>
          <w:tcPr>
            <w:tcW w:w="616" w:type="pct"/>
            <w:tcBorders>
              <w:top w:val="nil"/>
              <w:left w:val="nil"/>
              <w:bottom w:val="single" w:color="auto" w:sz="4" w:space="0"/>
              <w:right w:val="single" w:color="auto" w:sz="4" w:space="0"/>
            </w:tcBorders>
            <w:vAlign w:val="center"/>
          </w:tcPr>
          <w:p w14:paraId="0933214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不适用</w:t>
            </w:r>
          </w:p>
        </w:tc>
      </w:tr>
      <w:tr w14:paraId="6955B88B">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1651EFF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18</w:t>
            </w:r>
          </w:p>
        </w:tc>
        <w:tc>
          <w:tcPr>
            <w:tcW w:w="256" w:type="pct"/>
            <w:vMerge w:val="continue"/>
            <w:tcBorders>
              <w:top w:val="nil"/>
              <w:left w:val="single" w:color="auto" w:sz="4" w:space="0"/>
              <w:bottom w:val="single" w:color="auto" w:sz="4" w:space="0"/>
              <w:right w:val="single" w:color="auto" w:sz="4" w:space="0"/>
            </w:tcBorders>
            <w:vAlign w:val="center"/>
          </w:tcPr>
          <w:p w14:paraId="01F44FE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0EEB3E72">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28EC493B">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重要数据传输机密性</w:t>
            </w:r>
          </w:p>
        </w:tc>
        <w:tc>
          <w:tcPr>
            <w:tcW w:w="2180" w:type="pct"/>
            <w:tcBorders>
              <w:top w:val="nil"/>
              <w:left w:val="nil"/>
              <w:bottom w:val="single" w:color="auto" w:sz="4" w:space="0"/>
              <w:right w:val="single" w:color="auto" w:sz="4" w:space="0"/>
            </w:tcBorders>
            <w:vAlign w:val="center"/>
          </w:tcPr>
          <w:p w14:paraId="1AA3BC9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业务办公区PC端部署具有商用产品认证证书的国密浏览器（或VPN登录窗口）与云密码安全服务中的SSLVPN建立一条安全的传输隧道，通过SM4算法保证数据传输的机密性。</w:t>
            </w:r>
          </w:p>
        </w:tc>
        <w:tc>
          <w:tcPr>
            <w:tcW w:w="616" w:type="pct"/>
            <w:tcBorders>
              <w:top w:val="nil"/>
              <w:left w:val="nil"/>
              <w:bottom w:val="single" w:color="auto" w:sz="4" w:space="0"/>
              <w:right w:val="single" w:color="auto" w:sz="4" w:space="0"/>
            </w:tcBorders>
            <w:vAlign w:val="center"/>
          </w:tcPr>
          <w:p w14:paraId="49E607B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23A5E783">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0AD7A36F">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19</w:t>
            </w:r>
          </w:p>
        </w:tc>
        <w:tc>
          <w:tcPr>
            <w:tcW w:w="256" w:type="pct"/>
            <w:vMerge w:val="continue"/>
            <w:tcBorders>
              <w:top w:val="nil"/>
              <w:left w:val="single" w:color="auto" w:sz="4" w:space="0"/>
              <w:bottom w:val="single" w:color="auto" w:sz="4" w:space="0"/>
              <w:right w:val="single" w:color="auto" w:sz="4" w:space="0"/>
            </w:tcBorders>
            <w:vAlign w:val="center"/>
          </w:tcPr>
          <w:p w14:paraId="6D1E156C">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A0942B9">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657AFA1F">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重要数据存储机密性</w:t>
            </w:r>
          </w:p>
        </w:tc>
        <w:tc>
          <w:tcPr>
            <w:tcW w:w="2180" w:type="pct"/>
            <w:tcBorders>
              <w:top w:val="nil"/>
              <w:left w:val="nil"/>
              <w:bottom w:val="single" w:color="auto" w:sz="4" w:space="0"/>
              <w:right w:val="single" w:color="auto" w:sz="4" w:space="0"/>
            </w:tcBorders>
            <w:vAlign w:val="center"/>
          </w:tcPr>
          <w:p w14:paraId="369B1C60">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调用云密码安全服务部署具有商用产品认证证书的加解密+密钥管理，采用SM4算法对重要数据进行机密性保护。</w:t>
            </w:r>
          </w:p>
        </w:tc>
        <w:tc>
          <w:tcPr>
            <w:tcW w:w="616" w:type="pct"/>
            <w:tcBorders>
              <w:top w:val="nil"/>
              <w:left w:val="nil"/>
              <w:bottom w:val="single" w:color="auto" w:sz="4" w:space="0"/>
              <w:right w:val="single" w:color="auto" w:sz="4" w:space="0"/>
            </w:tcBorders>
            <w:vAlign w:val="center"/>
          </w:tcPr>
          <w:p w14:paraId="2416A2E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13AB5E4C">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443B7C49">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20</w:t>
            </w:r>
          </w:p>
        </w:tc>
        <w:tc>
          <w:tcPr>
            <w:tcW w:w="256" w:type="pct"/>
            <w:vMerge w:val="continue"/>
            <w:tcBorders>
              <w:top w:val="nil"/>
              <w:left w:val="single" w:color="auto" w:sz="4" w:space="0"/>
              <w:bottom w:val="single" w:color="auto" w:sz="4" w:space="0"/>
              <w:right w:val="single" w:color="auto" w:sz="4" w:space="0"/>
            </w:tcBorders>
            <w:vAlign w:val="center"/>
          </w:tcPr>
          <w:p w14:paraId="60E4423C">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2599CC87">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7A44D10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重要数据传输完整性</w:t>
            </w:r>
          </w:p>
        </w:tc>
        <w:tc>
          <w:tcPr>
            <w:tcW w:w="2180" w:type="pct"/>
            <w:tcBorders>
              <w:top w:val="nil"/>
              <w:left w:val="nil"/>
              <w:bottom w:val="single" w:color="auto" w:sz="4" w:space="0"/>
              <w:right w:val="single" w:color="auto" w:sz="4" w:space="0"/>
            </w:tcBorders>
            <w:vAlign w:val="center"/>
          </w:tcPr>
          <w:p w14:paraId="2E8D8B39">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业务办公区PC端部署具有商用产品认证证书的国密浏览器（或VPN登录窗口）与云密码安全服务中的SSLVPN建立一条安全的传输隧道，通过SM3算法保证数据传输的完整性。</w:t>
            </w:r>
          </w:p>
        </w:tc>
        <w:tc>
          <w:tcPr>
            <w:tcW w:w="616" w:type="pct"/>
            <w:tcBorders>
              <w:top w:val="nil"/>
              <w:left w:val="nil"/>
              <w:bottom w:val="single" w:color="auto" w:sz="4" w:space="0"/>
              <w:right w:val="single" w:color="auto" w:sz="4" w:space="0"/>
            </w:tcBorders>
            <w:vAlign w:val="center"/>
          </w:tcPr>
          <w:p w14:paraId="10F3A4A8">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0F9916B4">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D5458C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21</w:t>
            </w:r>
          </w:p>
        </w:tc>
        <w:tc>
          <w:tcPr>
            <w:tcW w:w="256" w:type="pct"/>
            <w:vMerge w:val="continue"/>
            <w:tcBorders>
              <w:top w:val="nil"/>
              <w:left w:val="single" w:color="auto" w:sz="4" w:space="0"/>
              <w:bottom w:val="single" w:color="auto" w:sz="4" w:space="0"/>
              <w:right w:val="single" w:color="auto" w:sz="4" w:space="0"/>
            </w:tcBorders>
            <w:vAlign w:val="center"/>
          </w:tcPr>
          <w:p w14:paraId="7F718837">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D8CA03C">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509DB0DC">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重要数据存储完整性</w:t>
            </w:r>
          </w:p>
        </w:tc>
        <w:tc>
          <w:tcPr>
            <w:tcW w:w="2180" w:type="pct"/>
            <w:tcBorders>
              <w:top w:val="nil"/>
              <w:left w:val="nil"/>
              <w:bottom w:val="single" w:color="auto" w:sz="4" w:space="0"/>
              <w:right w:val="single" w:color="auto" w:sz="4" w:space="0"/>
            </w:tcBorders>
            <w:vAlign w:val="center"/>
          </w:tcPr>
          <w:p w14:paraId="3689D8B6">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调用云密码安全服务部署具有商用产品认证证书的加解密+密钥管理，采用SM3算法对重要数据进行完整性保护。</w:t>
            </w:r>
          </w:p>
        </w:tc>
        <w:tc>
          <w:tcPr>
            <w:tcW w:w="616" w:type="pct"/>
            <w:tcBorders>
              <w:top w:val="nil"/>
              <w:left w:val="nil"/>
              <w:bottom w:val="single" w:color="auto" w:sz="4" w:space="0"/>
              <w:right w:val="single" w:color="auto" w:sz="4" w:space="0"/>
            </w:tcBorders>
            <w:vAlign w:val="center"/>
          </w:tcPr>
          <w:p w14:paraId="7FC82AA4">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5D613A90">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5A575250">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22</w:t>
            </w:r>
          </w:p>
        </w:tc>
        <w:tc>
          <w:tcPr>
            <w:tcW w:w="256" w:type="pct"/>
            <w:vMerge w:val="continue"/>
            <w:tcBorders>
              <w:top w:val="nil"/>
              <w:left w:val="single" w:color="auto" w:sz="4" w:space="0"/>
              <w:bottom w:val="single" w:color="auto" w:sz="4" w:space="0"/>
              <w:right w:val="single" w:color="auto" w:sz="4" w:space="0"/>
            </w:tcBorders>
            <w:vAlign w:val="center"/>
          </w:tcPr>
          <w:p w14:paraId="267F4F0D">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2D5283D6">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46B224EC">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不可否认性</w:t>
            </w:r>
          </w:p>
        </w:tc>
        <w:tc>
          <w:tcPr>
            <w:tcW w:w="2180" w:type="pct"/>
            <w:tcBorders>
              <w:top w:val="nil"/>
              <w:left w:val="nil"/>
              <w:bottom w:val="single" w:color="auto" w:sz="4" w:space="0"/>
              <w:right w:val="single" w:color="auto" w:sz="4" w:space="0"/>
            </w:tcBorders>
            <w:vAlign w:val="center"/>
          </w:tcPr>
          <w:p w14:paraId="79D8367A">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w:t>
            </w:r>
          </w:p>
        </w:tc>
        <w:tc>
          <w:tcPr>
            <w:tcW w:w="616" w:type="pct"/>
            <w:tcBorders>
              <w:top w:val="nil"/>
              <w:left w:val="nil"/>
              <w:bottom w:val="single" w:color="auto" w:sz="4" w:space="0"/>
              <w:right w:val="single" w:color="auto" w:sz="4" w:space="0"/>
            </w:tcBorders>
            <w:vAlign w:val="center"/>
          </w:tcPr>
          <w:p w14:paraId="4070641C">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不适用/符合</w:t>
            </w:r>
          </w:p>
        </w:tc>
      </w:tr>
      <w:tr w14:paraId="60D6A55E">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8332B7C">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23</w:t>
            </w:r>
          </w:p>
        </w:tc>
        <w:tc>
          <w:tcPr>
            <w:tcW w:w="256" w:type="pct"/>
            <w:vMerge w:val="restart"/>
            <w:tcBorders>
              <w:top w:val="nil"/>
              <w:left w:val="single" w:color="auto" w:sz="4" w:space="0"/>
              <w:bottom w:val="single" w:color="auto" w:sz="4" w:space="0"/>
              <w:right w:val="single" w:color="auto" w:sz="4" w:space="0"/>
            </w:tcBorders>
            <w:vAlign w:val="center"/>
          </w:tcPr>
          <w:p w14:paraId="14F444E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管理要求</w:t>
            </w:r>
          </w:p>
        </w:tc>
        <w:tc>
          <w:tcPr>
            <w:tcW w:w="658" w:type="pct"/>
            <w:vMerge w:val="restart"/>
            <w:tcBorders>
              <w:top w:val="nil"/>
              <w:left w:val="single" w:color="auto" w:sz="4" w:space="0"/>
              <w:bottom w:val="single" w:color="auto" w:sz="4" w:space="0"/>
              <w:right w:val="single" w:color="auto" w:sz="4" w:space="0"/>
            </w:tcBorders>
            <w:vAlign w:val="center"/>
          </w:tcPr>
          <w:p w14:paraId="6AF5DF2C">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管理制度</w:t>
            </w:r>
          </w:p>
        </w:tc>
        <w:tc>
          <w:tcPr>
            <w:tcW w:w="923" w:type="pct"/>
            <w:tcBorders>
              <w:top w:val="nil"/>
              <w:left w:val="nil"/>
              <w:bottom w:val="single" w:color="auto" w:sz="4" w:space="0"/>
              <w:right w:val="single" w:color="auto" w:sz="4" w:space="0"/>
            </w:tcBorders>
            <w:vAlign w:val="center"/>
          </w:tcPr>
          <w:p w14:paraId="7183CE02">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具备密码应用安全管理制度</w:t>
            </w:r>
          </w:p>
        </w:tc>
        <w:tc>
          <w:tcPr>
            <w:tcW w:w="2180" w:type="pct"/>
            <w:tcBorders>
              <w:top w:val="nil"/>
              <w:left w:val="nil"/>
              <w:bottom w:val="single" w:color="auto" w:sz="4" w:space="0"/>
              <w:right w:val="single" w:color="auto" w:sz="4" w:space="0"/>
            </w:tcBorders>
            <w:vAlign w:val="center"/>
          </w:tcPr>
          <w:p w14:paraId="31F01CE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制定包括密码人员管理、密钥管理、建设运行、应急处置、密码软硬件及介质管理等制度</w:t>
            </w:r>
          </w:p>
        </w:tc>
        <w:tc>
          <w:tcPr>
            <w:tcW w:w="616" w:type="pct"/>
            <w:tcBorders>
              <w:top w:val="nil"/>
              <w:left w:val="nil"/>
              <w:bottom w:val="single" w:color="auto" w:sz="4" w:space="0"/>
              <w:right w:val="single" w:color="auto" w:sz="4" w:space="0"/>
            </w:tcBorders>
            <w:vAlign w:val="center"/>
          </w:tcPr>
          <w:p w14:paraId="2F8B924F">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3B583600">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608A141">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24</w:t>
            </w:r>
          </w:p>
        </w:tc>
        <w:tc>
          <w:tcPr>
            <w:tcW w:w="256" w:type="pct"/>
            <w:vMerge w:val="continue"/>
            <w:tcBorders>
              <w:top w:val="nil"/>
              <w:left w:val="single" w:color="auto" w:sz="4" w:space="0"/>
              <w:bottom w:val="single" w:color="auto" w:sz="4" w:space="0"/>
              <w:right w:val="single" w:color="auto" w:sz="4" w:space="0"/>
            </w:tcBorders>
            <w:vAlign w:val="center"/>
          </w:tcPr>
          <w:p w14:paraId="6CFB1C99">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4CFDFD4C">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008F2AEA">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密钥管理规则</w:t>
            </w:r>
          </w:p>
        </w:tc>
        <w:tc>
          <w:tcPr>
            <w:tcW w:w="2180" w:type="pct"/>
            <w:tcBorders>
              <w:top w:val="nil"/>
              <w:left w:val="nil"/>
              <w:bottom w:val="single" w:color="auto" w:sz="4" w:space="0"/>
              <w:right w:val="single" w:color="auto" w:sz="4" w:space="0"/>
            </w:tcBorders>
            <w:vAlign w:val="center"/>
          </w:tcPr>
          <w:p w14:paraId="721B5322">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根据密码应用方案建立相应密钥管理规则</w:t>
            </w:r>
          </w:p>
        </w:tc>
        <w:tc>
          <w:tcPr>
            <w:tcW w:w="616" w:type="pct"/>
            <w:tcBorders>
              <w:top w:val="nil"/>
              <w:left w:val="nil"/>
              <w:bottom w:val="single" w:color="auto" w:sz="4" w:space="0"/>
              <w:right w:val="single" w:color="auto" w:sz="4" w:space="0"/>
            </w:tcBorders>
            <w:vAlign w:val="center"/>
          </w:tcPr>
          <w:p w14:paraId="54BD980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2798764C">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4ABF6F7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25</w:t>
            </w:r>
          </w:p>
        </w:tc>
        <w:tc>
          <w:tcPr>
            <w:tcW w:w="256" w:type="pct"/>
            <w:vMerge w:val="continue"/>
            <w:tcBorders>
              <w:top w:val="nil"/>
              <w:left w:val="single" w:color="auto" w:sz="4" w:space="0"/>
              <w:bottom w:val="single" w:color="auto" w:sz="4" w:space="0"/>
              <w:right w:val="single" w:color="auto" w:sz="4" w:space="0"/>
            </w:tcBorders>
            <w:vAlign w:val="center"/>
          </w:tcPr>
          <w:p w14:paraId="0EF77644">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03278296">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6C2C356E">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建立操作规程</w:t>
            </w:r>
          </w:p>
        </w:tc>
        <w:tc>
          <w:tcPr>
            <w:tcW w:w="2180" w:type="pct"/>
            <w:tcBorders>
              <w:top w:val="nil"/>
              <w:left w:val="nil"/>
              <w:bottom w:val="single" w:color="auto" w:sz="4" w:space="0"/>
              <w:right w:val="single" w:color="auto" w:sz="4" w:space="0"/>
            </w:tcBorders>
            <w:vAlign w:val="center"/>
          </w:tcPr>
          <w:p w14:paraId="400D1DAC">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对管理人员或操作人员执行的日常管理操作建立操作规程</w:t>
            </w:r>
          </w:p>
        </w:tc>
        <w:tc>
          <w:tcPr>
            <w:tcW w:w="616" w:type="pct"/>
            <w:tcBorders>
              <w:top w:val="nil"/>
              <w:left w:val="nil"/>
              <w:bottom w:val="single" w:color="auto" w:sz="4" w:space="0"/>
              <w:right w:val="single" w:color="auto" w:sz="4" w:space="0"/>
            </w:tcBorders>
            <w:vAlign w:val="center"/>
          </w:tcPr>
          <w:p w14:paraId="7988B4E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44861713">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45FD8D4">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26</w:t>
            </w:r>
          </w:p>
        </w:tc>
        <w:tc>
          <w:tcPr>
            <w:tcW w:w="256" w:type="pct"/>
            <w:vMerge w:val="continue"/>
            <w:tcBorders>
              <w:top w:val="nil"/>
              <w:left w:val="single" w:color="auto" w:sz="4" w:space="0"/>
              <w:bottom w:val="single" w:color="auto" w:sz="4" w:space="0"/>
              <w:right w:val="single" w:color="auto" w:sz="4" w:space="0"/>
            </w:tcBorders>
            <w:vAlign w:val="center"/>
          </w:tcPr>
          <w:p w14:paraId="39567FBF">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E61035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488A6DD5">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定期修订安全管理制度</w:t>
            </w:r>
          </w:p>
        </w:tc>
        <w:tc>
          <w:tcPr>
            <w:tcW w:w="2180" w:type="pct"/>
            <w:tcBorders>
              <w:top w:val="nil"/>
              <w:left w:val="nil"/>
              <w:bottom w:val="single" w:color="auto" w:sz="4" w:space="0"/>
              <w:right w:val="single" w:color="auto" w:sz="4" w:space="0"/>
            </w:tcBorders>
            <w:vAlign w:val="center"/>
          </w:tcPr>
          <w:p w14:paraId="549577DF">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定期对密码应用安全管理制度和操作规程的合理性和适用性进行论证和审定，对存在不足或需要改进之处进行修订</w:t>
            </w:r>
          </w:p>
        </w:tc>
        <w:tc>
          <w:tcPr>
            <w:tcW w:w="616" w:type="pct"/>
            <w:tcBorders>
              <w:top w:val="nil"/>
              <w:left w:val="nil"/>
              <w:bottom w:val="single" w:color="auto" w:sz="4" w:space="0"/>
              <w:right w:val="single" w:color="auto" w:sz="4" w:space="0"/>
            </w:tcBorders>
            <w:vAlign w:val="center"/>
          </w:tcPr>
          <w:p w14:paraId="524751CB">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47E3FA04">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11A907DA">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27</w:t>
            </w:r>
          </w:p>
        </w:tc>
        <w:tc>
          <w:tcPr>
            <w:tcW w:w="256" w:type="pct"/>
            <w:vMerge w:val="continue"/>
            <w:tcBorders>
              <w:top w:val="nil"/>
              <w:left w:val="single" w:color="auto" w:sz="4" w:space="0"/>
              <w:bottom w:val="single" w:color="auto" w:sz="4" w:space="0"/>
              <w:right w:val="single" w:color="auto" w:sz="4" w:space="0"/>
            </w:tcBorders>
            <w:vAlign w:val="center"/>
          </w:tcPr>
          <w:p w14:paraId="74A15E5D">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65AF2FF5">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2E90945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明确管理制度发布流程</w:t>
            </w:r>
          </w:p>
        </w:tc>
        <w:tc>
          <w:tcPr>
            <w:tcW w:w="2180" w:type="pct"/>
            <w:tcBorders>
              <w:top w:val="nil"/>
              <w:left w:val="nil"/>
              <w:bottom w:val="single" w:color="auto" w:sz="4" w:space="0"/>
              <w:right w:val="single" w:color="auto" w:sz="4" w:space="0"/>
            </w:tcBorders>
            <w:vAlign w:val="center"/>
          </w:tcPr>
          <w:p w14:paraId="1CD028A3">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明确相关密码应用安全管理制度和操作规程的发布流程并进行版本控制</w:t>
            </w:r>
          </w:p>
        </w:tc>
        <w:tc>
          <w:tcPr>
            <w:tcW w:w="616" w:type="pct"/>
            <w:tcBorders>
              <w:top w:val="nil"/>
              <w:left w:val="nil"/>
              <w:bottom w:val="single" w:color="auto" w:sz="4" w:space="0"/>
              <w:right w:val="single" w:color="auto" w:sz="4" w:space="0"/>
            </w:tcBorders>
            <w:vAlign w:val="center"/>
          </w:tcPr>
          <w:p w14:paraId="7290152B">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1E328318">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4BF560A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28</w:t>
            </w:r>
          </w:p>
        </w:tc>
        <w:tc>
          <w:tcPr>
            <w:tcW w:w="256" w:type="pct"/>
            <w:vMerge w:val="continue"/>
            <w:tcBorders>
              <w:top w:val="nil"/>
              <w:left w:val="single" w:color="auto" w:sz="4" w:space="0"/>
              <w:bottom w:val="single" w:color="auto" w:sz="4" w:space="0"/>
              <w:right w:val="single" w:color="auto" w:sz="4" w:space="0"/>
            </w:tcBorders>
            <w:vAlign w:val="center"/>
          </w:tcPr>
          <w:p w14:paraId="3281407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10EB44F5">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692F057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制度执行过程记录留存</w:t>
            </w:r>
          </w:p>
        </w:tc>
        <w:tc>
          <w:tcPr>
            <w:tcW w:w="2180" w:type="pct"/>
            <w:tcBorders>
              <w:top w:val="nil"/>
              <w:left w:val="nil"/>
              <w:bottom w:val="single" w:color="auto" w:sz="4" w:space="0"/>
              <w:right w:val="single" w:color="auto" w:sz="4" w:space="0"/>
            </w:tcBorders>
            <w:vAlign w:val="center"/>
          </w:tcPr>
          <w:p w14:paraId="7207FA52">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具有密码应用操作规程的相关执行记录并妥善保存，可以查询问题出现的原因</w:t>
            </w:r>
          </w:p>
        </w:tc>
        <w:tc>
          <w:tcPr>
            <w:tcW w:w="616" w:type="pct"/>
            <w:tcBorders>
              <w:top w:val="nil"/>
              <w:left w:val="nil"/>
              <w:bottom w:val="single" w:color="auto" w:sz="4" w:space="0"/>
              <w:right w:val="single" w:color="auto" w:sz="4" w:space="0"/>
            </w:tcBorders>
            <w:vAlign w:val="center"/>
          </w:tcPr>
          <w:p w14:paraId="5932DA28">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41E7DBD8">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49A749CC">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29</w:t>
            </w:r>
          </w:p>
        </w:tc>
        <w:tc>
          <w:tcPr>
            <w:tcW w:w="256" w:type="pct"/>
            <w:vMerge w:val="continue"/>
            <w:tcBorders>
              <w:top w:val="nil"/>
              <w:left w:val="single" w:color="auto" w:sz="4" w:space="0"/>
              <w:bottom w:val="single" w:color="auto" w:sz="4" w:space="0"/>
              <w:right w:val="single" w:color="auto" w:sz="4" w:space="0"/>
            </w:tcBorders>
            <w:vAlign w:val="center"/>
          </w:tcPr>
          <w:p w14:paraId="7F24024E">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restart"/>
            <w:tcBorders>
              <w:top w:val="nil"/>
              <w:left w:val="single" w:color="auto" w:sz="4" w:space="0"/>
              <w:bottom w:val="single" w:color="auto" w:sz="4" w:space="0"/>
              <w:right w:val="single" w:color="auto" w:sz="4" w:space="0"/>
            </w:tcBorders>
            <w:vAlign w:val="center"/>
          </w:tcPr>
          <w:p w14:paraId="49EAAA1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人员管理</w:t>
            </w:r>
          </w:p>
        </w:tc>
        <w:tc>
          <w:tcPr>
            <w:tcW w:w="923" w:type="pct"/>
            <w:tcBorders>
              <w:top w:val="nil"/>
              <w:left w:val="nil"/>
              <w:bottom w:val="single" w:color="auto" w:sz="4" w:space="0"/>
              <w:right w:val="single" w:color="auto" w:sz="4" w:space="0"/>
            </w:tcBorders>
            <w:vAlign w:val="center"/>
          </w:tcPr>
          <w:p w14:paraId="1E1FCDEC">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了解并遵守密码相关法律法规和密码管理制度</w:t>
            </w:r>
          </w:p>
        </w:tc>
        <w:tc>
          <w:tcPr>
            <w:tcW w:w="2180" w:type="pct"/>
            <w:tcBorders>
              <w:top w:val="nil"/>
              <w:left w:val="nil"/>
              <w:bottom w:val="single" w:color="auto" w:sz="4" w:space="0"/>
              <w:right w:val="single" w:color="auto" w:sz="4" w:space="0"/>
            </w:tcBorders>
            <w:vAlign w:val="center"/>
          </w:tcPr>
          <w:p w14:paraId="434B660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相关人员应了解并遵守密码相关法律法规、密码应用安全管理制度</w:t>
            </w:r>
          </w:p>
        </w:tc>
        <w:tc>
          <w:tcPr>
            <w:tcW w:w="616" w:type="pct"/>
            <w:tcBorders>
              <w:top w:val="nil"/>
              <w:left w:val="nil"/>
              <w:bottom w:val="single" w:color="auto" w:sz="4" w:space="0"/>
              <w:right w:val="single" w:color="auto" w:sz="4" w:space="0"/>
            </w:tcBorders>
            <w:vAlign w:val="center"/>
          </w:tcPr>
          <w:p w14:paraId="3FCB35E2">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780603E3">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706DB01A">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30</w:t>
            </w:r>
          </w:p>
        </w:tc>
        <w:tc>
          <w:tcPr>
            <w:tcW w:w="256" w:type="pct"/>
            <w:vMerge w:val="continue"/>
            <w:tcBorders>
              <w:top w:val="nil"/>
              <w:left w:val="single" w:color="auto" w:sz="4" w:space="0"/>
              <w:bottom w:val="single" w:color="auto" w:sz="4" w:space="0"/>
              <w:right w:val="single" w:color="auto" w:sz="4" w:space="0"/>
            </w:tcBorders>
            <w:vAlign w:val="center"/>
          </w:tcPr>
          <w:p w14:paraId="6A94D04C">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48E0A35A">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4E7FB1B9">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建立密码应用岗位责任制度</w:t>
            </w:r>
          </w:p>
        </w:tc>
        <w:tc>
          <w:tcPr>
            <w:tcW w:w="2180" w:type="pct"/>
            <w:tcBorders>
              <w:top w:val="nil"/>
              <w:left w:val="nil"/>
              <w:bottom w:val="single" w:color="auto" w:sz="4" w:space="0"/>
              <w:right w:val="single" w:color="auto" w:sz="4" w:space="0"/>
            </w:tcBorders>
            <w:vAlign w:val="center"/>
          </w:tcPr>
          <w:p w14:paraId="0F2E5A04">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设置密钥管理员、密码安全审计员、密码操作员等关键安全岗位</w:t>
            </w:r>
          </w:p>
        </w:tc>
        <w:tc>
          <w:tcPr>
            <w:tcW w:w="616" w:type="pct"/>
            <w:tcBorders>
              <w:top w:val="nil"/>
              <w:left w:val="nil"/>
              <w:bottom w:val="single" w:color="auto" w:sz="4" w:space="0"/>
              <w:right w:val="single" w:color="auto" w:sz="4" w:space="0"/>
            </w:tcBorders>
            <w:vAlign w:val="center"/>
          </w:tcPr>
          <w:p w14:paraId="7D72F2F1">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57B6CB19">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0CA0097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31</w:t>
            </w:r>
          </w:p>
        </w:tc>
        <w:tc>
          <w:tcPr>
            <w:tcW w:w="256" w:type="pct"/>
            <w:vMerge w:val="continue"/>
            <w:tcBorders>
              <w:top w:val="nil"/>
              <w:left w:val="single" w:color="auto" w:sz="4" w:space="0"/>
              <w:bottom w:val="single" w:color="auto" w:sz="4" w:space="0"/>
              <w:right w:val="single" w:color="auto" w:sz="4" w:space="0"/>
            </w:tcBorders>
            <w:vAlign w:val="center"/>
          </w:tcPr>
          <w:p w14:paraId="000E7280">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4F8723EE">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15F5258F">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建立上岗人员培训制度</w:t>
            </w:r>
          </w:p>
        </w:tc>
        <w:tc>
          <w:tcPr>
            <w:tcW w:w="2180" w:type="pct"/>
            <w:tcBorders>
              <w:top w:val="nil"/>
              <w:left w:val="nil"/>
              <w:bottom w:val="single" w:color="auto" w:sz="4" w:space="0"/>
              <w:right w:val="single" w:color="auto" w:sz="4" w:space="0"/>
            </w:tcBorders>
            <w:vAlign w:val="center"/>
          </w:tcPr>
          <w:p w14:paraId="5060769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对涉及密码的操作和管理的人员进行专门培训，确保其具备岗位所需专业技能</w:t>
            </w:r>
          </w:p>
        </w:tc>
        <w:tc>
          <w:tcPr>
            <w:tcW w:w="616" w:type="pct"/>
            <w:tcBorders>
              <w:top w:val="nil"/>
              <w:left w:val="nil"/>
              <w:bottom w:val="single" w:color="auto" w:sz="4" w:space="0"/>
              <w:right w:val="single" w:color="auto" w:sz="4" w:space="0"/>
            </w:tcBorders>
            <w:vAlign w:val="center"/>
          </w:tcPr>
          <w:p w14:paraId="119E20B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78D6C3D7">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04C8DDE4">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32</w:t>
            </w:r>
          </w:p>
        </w:tc>
        <w:tc>
          <w:tcPr>
            <w:tcW w:w="256" w:type="pct"/>
            <w:vMerge w:val="continue"/>
            <w:tcBorders>
              <w:top w:val="nil"/>
              <w:left w:val="single" w:color="auto" w:sz="4" w:space="0"/>
              <w:bottom w:val="single" w:color="auto" w:sz="4" w:space="0"/>
              <w:right w:val="single" w:color="auto" w:sz="4" w:space="0"/>
            </w:tcBorders>
            <w:vAlign w:val="center"/>
          </w:tcPr>
          <w:p w14:paraId="3D8A2EAC">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69BD6897">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1135C5C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定期进行安全岗位人员考核</w:t>
            </w:r>
          </w:p>
        </w:tc>
        <w:tc>
          <w:tcPr>
            <w:tcW w:w="2180" w:type="pct"/>
            <w:tcBorders>
              <w:top w:val="nil"/>
              <w:left w:val="nil"/>
              <w:bottom w:val="single" w:color="auto" w:sz="4" w:space="0"/>
              <w:right w:val="single" w:color="auto" w:sz="4" w:space="0"/>
            </w:tcBorders>
            <w:vAlign w:val="center"/>
          </w:tcPr>
          <w:p w14:paraId="1785CD97">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定期对密码应用安全岗位人员进行考核</w:t>
            </w:r>
          </w:p>
        </w:tc>
        <w:tc>
          <w:tcPr>
            <w:tcW w:w="616" w:type="pct"/>
            <w:tcBorders>
              <w:top w:val="nil"/>
              <w:left w:val="nil"/>
              <w:bottom w:val="single" w:color="auto" w:sz="4" w:space="0"/>
              <w:right w:val="single" w:color="auto" w:sz="4" w:space="0"/>
            </w:tcBorders>
            <w:vAlign w:val="center"/>
          </w:tcPr>
          <w:p w14:paraId="30C5C3E7">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6E6FAF1C">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E41F5CA">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33</w:t>
            </w:r>
          </w:p>
        </w:tc>
        <w:tc>
          <w:tcPr>
            <w:tcW w:w="256" w:type="pct"/>
            <w:vMerge w:val="continue"/>
            <w:tcBorders>
              <w:top w:val="nil"/>
              <w:left w:val="single" w:color="auto" w:sz="4" w:space="0"/>
              <w:bottom w:val="single" w:color="auto" w:sz="4" w:space="0"/>
              <w:right w:val="single" w:color="auto" w:sz="4" w:space="0"/>
            </w:tcBorders>
            <w:vAlign w:val="center"/>
          </w:tcPr>
          <w:p w14:paraId="4EC69861">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21FD15F1">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3D186AE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建立关键岗位人员保密制度和调离制度</w:t>
            </w:r>
          </w:p>
        </w:tc>
        <w:tc>
          <w:tcPr>
            <w:tcW w:w="2180" w:type="pct"/>
            <w:tcBorders>
              <w:top w:val="nil"/>
              <w:left w:val="nil"/>
              <w:bottom w:val="single" w:color="auto" w:sz="4" w:space="0"/>
              <w:right w:val="single" w:color="auto" w:sz="4" w:space="0"/>
            </w:tcBorders>
            <w:vAlign w:val="center"/>
          </w:tcPr>
          <w:p w14:paraId="71E52A3A">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建立关键人员保密制度和调离制度，签订保密合同，承担保密义务</w:t>
            </w:r>
          </w:p>
        </w:tc>
        <w:tc>
          <w:tcPr>
            <w:tcW w:w="616" w:type="pct"/>
            <w:tcBorders>
              <w:top w:val="nil"/>
              <w:left w:val="nil"/>
              <w:bottom w:val="single" w:color="auto" w:sz="4" w:space="0"/>
              <w:right w:val="single" w:color="auto" w:sz="4" w:space="0"/>
            </w:tcBorders>
            <w:vAlign w:val="center"/>
          </w:tcPr>
          <w:p w14:paraId="00389FA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5CF87A81">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07D78E1D">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34</w:t>
            </w:r>
          </w:p>
        </w:tc>
        <w:tc>
          <w:tcPr>
            <w:tcW w:w="256" w:type="pct"/>
            <w:vMerge w:val="continue"/>
            <w:tcBorders>
              <w:top w:val="nil"/>
              <w:left w:val="single" w:color="auto" w:sz="4" w:space="0"/>
              <w:bottom w:val="single" w:color="auto" w:sz="4" w:space="0"/>
              <w:right w:val="single" w:color="auto" w:sz="4" w:space="0"/>
            </w:tcBorders>
            <w:vAlign w:val="center"/>
          </w:tcPr>
          <w:p w14:paraId="5A129E8D">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restart"/>
            <w:tcBorders>
              <w:top w:val="nil"/>
              <w:left w:val="single" w:color="auto" w:sz="4" w:space="0"/>
              <w:bottom w:val="single" w:color="auto" w:sz="4" w:space="0"/>
              <w:right w:val="single" w:color="auto" w:sz="4" w:space="0"/>
            </w:tcBorders>
            <w:vAlign w:val="center"/>
          </w:tcPr>
          <w:p w14:paraId="78241B0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建设运行</w:t>
            </w:r>
          </w:p>
        </w:tc>
        <w:tc>
          <w:tcPr>
            <w:tcW w:w="923" w:type="pct"/>
            <w:tcBorders>
              <w:top w:val="nil"/>
              <w:left w:val="nil"/>
              <w:bottom w:val="single" w:color="auto" w:sz="4" w:space="0"/>
              <w:right w:val="single" w:color="auto" w:sz="4" w:space="0"/>
            </w:tcBorders>
            <w:vAlign w:val="center"/>
          </w:tcPr>
          <w:p w14:paraId="2948EC9E">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制定密码应用方案</w:t>
            </w:r>
          </w:p>
        </w:tc>
        <w:tc>
          <w:tcPr>
            <w:tcW w:w="2180" w:type="pct"/>
            <w:tcBorders>
              <w:top w:val="nil"/>
              <w:left w:val="nil"/>
              <w:bottom w:val="single" w:color="auto" w:sz="4" w:space="0"/>
              <w:right w:val="single" w:color="auto" w:sz="4" w:space="0"/>
            </w:tcBorders>
            <w:vAlign w:val="center"/>
          </w:tcPr>
          <w:p w14:paraId="3E2C10E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依据密码相关标准和密码应用需求，制定密码应用方案</w:t>
            </w:r>
          </w:p>
        </w:tc>
        <w:tc>
          <w:tcPr>
            <w:tcW w:w="616" w:type="pct"/>
            <w:tcBorders>
              <w:top w:val="nil"/>
              <w:left w:val="nil"/>
              <w:bottom w:val="single" w:color="auto" w:sz="4" w:space="0"/>
              <w:right w:val="single" w:color="auto" w:sz="4" w:space="0"/>
            </w:tcBorders>
            <w:vAlign w:val="center"/>
          </w:tcPr>
          <w:p w14:paraId="47AC678F">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67DF67B8">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C74492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35</w:t>
            </w:r>
          </w:p>
        </w:tc>
        <w:tc>
          <w:tcPr>
            <w:tcW w:w="256" w:type="pct"/>
            <w:vMerge w:val="continue"/>
            <w:tcBorders>
              <w:top w:val="nil"/>
              <w:left w:val="single" w:color="auto" w:sz="4" w:space="0"/>
              <w:bottom w:val="single" w:color="auto" w:sz="4" w:space="0"/>
              <w:right w:val="single" w:color="auto" w:sz="4" w:space="0"/>
            </w:tcBorders>
            <w:vAlign w:val="center"/>
          </w:tcPr>
          <w:p w14:paraId="6DEAEE2A">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7B8B1120">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6C69608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制定密钥安全管理策略</w:t>
            </w:r>
          </w:p>
        </w:tc>
        <w:tc>
          <w:tcPr>
            <w:tcW w:w="2180" w:type="pct"/>
            <w:tcBorders>
              <w:top w:val="nil"/>
              <w:left w:val="nil"/>
              <w:bottom w:val="single" w:color="auto" w:sz="4" w:space="0"/>
              <w:right w:val="single" w:color="auto" w:sz="4" w:space="0"/>
            </w:tcBorders>
            <w:vAlign w:val="center"/>
          </w:tcPr>
          <w:p w14:paraId="0A39D276">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根据密码应用方案，确定系统涉及的密钥种类、体系及其生存周期环节</w:t>
            </w:r>
          </w:p>
        </w:tc>
        <w:tc>
          <w:tcPr>
            <w:tcW w:w="616" w:type="pct"/>
            <w:tcBorders>
              <w:top w:val="nil"/>
              <w:left w:val="nil"/>
              <w:bottom w:val="single" w:color="auto" w:sz="4" w:space="0"/>
              <w:right w:val="single" w:color="auto" w:sz="4" w:space="0"/>
            </w:tcBorders>
            <w:vAlign w:val="center"/>
          </w:tcPr>
          <w:p w14:paraId="0BBA27D9">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424052F7">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774F6F5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36</w:t>
            </w:r>
          </w:p>
        </w:tc>
        <w:tc>
          <w:tcPr>
            <w:tcW w:w="256" w:type="pct"/>
            <w:vMerge w:val="continue"/>
            <w:tcBorders>
              <w:top w:val="nil"/>
              <w:left w:val="single" w:color="auto" w:sz="4" w:space="0"/>
              <w:bottom w:val="single" w:color="auto" w:sz="4" w:space="0"/>
              <w:right w:val="single" w:color="auto" w:sz="4" w:space="0"/>
            </w:tcBorders>
            <w:vAlign w:val="center"/>
          </w:tcPr>
          <w:p w14:paraId="59E5A5DF">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444A9C33">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41ED9EEA">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制定实施方案</w:t>
            </w:r>
          </w:p>
        </w:tc>
        <w:tc>
          <w:tcPr>
            <w:tcW w:w="2180" w:type="pct"/>
            <w:tcBorders>
              <w:top w:val="nil"/>
              <w:left w:val="nil"/>
              <w:bottom w:val="single" w:color="auto" w:sz="4" w:space="0"/>
              <w:right w:val="single" w:color="auto" w:sz="4" w:space="0"/>
            </w:tcBorders>
            <w:vAlign w:val="center"/>
          </w:tcPr>
          <w:p w14:paraId="4B0181C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按照应用方案实施建设</w:t>
            </w:r>
          </w:p>
        </w:tc>
        <w:tc>
          <w:tcPr>
            <w:tcW w:w="616" w:type="pct"/>
            <w:tcBorders>
              <w:top w:val="nil"/>
              <w:left w:val="nil"/>
              <w:bottom w:val="single" w:color="auto" w:sz="4" w:space="0"/>
              <w:right w:val="single" w:color="auto" w:sz="4" w:space="0"/>
            </w:tcBorders>
            <w:vAlign w:val="center"/>
          </w:tcPr>
          <w:p w14:paraId="2C9CC5A1">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3E9FCC08">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22430C34">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37</w:t>
            </w:r>
          </w:p>
        </w:tc>
        <w:tc>
          <w:tcPr>
            <w:tcW w:w="256" w:type="pct"/>
            <w:vMerge w:val="continue"/>
            <w:tcBorders>
              <w:top w:val="nil"/>
              <w:left w:val="single" w:color="auto" w:sz="4" w:space="0"/>
              <w:bottom w:val="single" w:color="auto" w:sz="4" w:space="0"/>
              <w:right w:val="single" w:color="auto" w:sz="4" w:space="0"/>
            </w:tcBorders>
            <w:vAlign w:val="center"/>
          </w:tcPr>
          <w:p w14:paraId="3C9ED944">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02DB6203">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78DFBC9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投入运行前进行密码应用安全性评估</w:t>
            </w:r>
          </w:p>
        </w:tc>
        <w:tc>
          <w:tcPr>
            <w:tcW w:w="2180" w:type="pct"/>
            <w:tcBorders>
              <w:top w:val="nil"/>
              <w:left w:val="nil"/>
              <w:bottom w:val="single" w:color="auto" w:sz="4" w:space="0"/>
              <w:right w:val="single" w:color="auto" w:sz="4" w:space="0"/>
            </w:tcBorders>
            <w:vAlign w:val="center"/>
          </w:tcPr>
          <w:p w14:paraId="27D6D5F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投入运行前应进行密码应用安全性评估，评估通过后系统方可正式运行</w:t>
            </w:r>
          </w:p>
        </w:tc>
        <w:tc>
          <w:tcPr>
            <w:tcW w:w="616" w:type="pct"/>
            <w:tcBorders>
              <w:top w:val="nil"/>
              <w:left w:val="nil"/>
              <w:bottom w:val="single" w:color="auto" w:sz="4" w:space="0"/>
              <w:right w:val="single" w:color="auto" w:sz="4" w:space="0"/>
            </w:tcBorders>
            <w:vAlign w:val="center"/>
          </w:tcPr>
          <w:p w14:paraId="6F1CCBCD">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2521F703">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65DE663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38</w:t>
            </w:r>
          </w:p>
        </w:tc>
        <w:tc>
          <w:tcPr>
            <w:tcW w:w="256" w:type="pct"/>
            <w:vMerge w:val="continue"/>
            <w:tcBorders>
              <w:top w:val="nil"/>
              <w:left w:val="single" w:color="auto" w:sz="4" w:space="0"/>
              <w:bottom w:val="single" w:color="auto" w:sz="4" w:space="0"/>
              <w:right w:val="single" w:color="auto" w:sz="4" w:space="0"/>
            </w:tcBorders>
            <w:vAlign w:val="center"/>
          </w:tcPr>
          <w:p w14:paraId="2C0182C6">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446E5403">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2FEC776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定期开展密码应用安全性评估及攻防对抗演习</w:t>
            </w:r>
          </w:p>
        </w:tc>
        <w:tc>
          <w:tcPr>
            <w:tcW w:w="2180" w:type="pct"/>
            <w:tcBorders>
              <w:top w:val="nil"/>
              <w:left w:val="nil"/>
              <w:bottom w:val="single" w:color="auto" w:sz="4" w:space="0"/>
              <w:right w:val="single" w:color="auto" w:sz="4" w:space="0"/>
            </w:tcBorders>
            <w:vAlign w:val="center"/>
          </w:tcPr>
          <w:p w14:paraId="5FF8E9C1">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在运行过程中，应严格执行既定的密码应用安全管理制度，应定期开展密码应用安全性评估及攻防对抗演习，并根据评估结果进行整改</w:t>
            </w:r>
          </w:p>
        </w:tc>
        <w:tc>
          <w:tcPr>
            <w:tcW w:w="616" w:type="pct"/>
            <w:tcBorders>
              <w:top w:val="nil"/>
              <w:left w:val="nil"/>
              <w:bottom w:val="single" w:color="auto" w:sz="4" w:space="0"/>
              <w:right w:val="single" w:color="auto" w:sz="4" w:space="0"/>
            </w:tcBorders>
            <w:vAlign w:val="center"/>
          </w:tcPr>
          <w:p w14:paraId="7A48EF1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43013AE4">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3379385A">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39</w:t>
            </w:r>
          </w:p>
        </w:tc>
        <w:tc>
          <w:tcPr>
            <w:tcW w:w="256" w:type="pct"/>
            <w:vMerge w:val="continue"/>
            <w:tcBorders>
              <w:top w:val="nil"/>
              <w:left w:val="single" w:color="auto" w:sz="4" w:space="0"/>
              <w:bottom w:val="single" w:color="auto" w:sz="4" w:space="0"/>
              <w:right w:val="single" w:color="auto" w:sz="4" w:space="0"/>
            </w:tcBorders>
            <w:vAlign w:val="center"/>
          </w:tcPr>
          <w:p w14:paraId="07C823C8">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restart"/>
            <w:tcBorders>
              <w:top w:val="nil"/>
              <w:left w:val="single" w:color="auto" w:sz="4" w:space="0"/>
              <w:bottom w:val="single" w:color="auto" w:sz="4" w:space="0"/>
              <w:right w:val="single" w:color="auto" w:sz="4" w:space="0"/>
            </w:tcBorders>
            <w:vAlign w:val="center"/>
          </w:tcPr>
          <w:p w14:paraId="7DDBA606">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应急处置</w:t>
            </w:r>
          </w:p>
        </w:tc>
        <w:tc>
          <w:tcPr>
            <w:tcW w:w="923" w:type="pct"/>
            <w:tcBorders>
              <w:top w:val="nil"/>
              <w:left w:val="nil"/>
              <w:bottom w:val="single" w:color="auto" w:sz="4" w:space="0"/>
              <w:right w:val="single" w:color="auto" w:sz="4" w:space="0"/>
            </w:tcBorders>
            <w:vAlign w:val="center"/>
          </w:tcPr>
          <w:p w14:paraId="5F39CF58">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应急策略</w:t>
            </w:r>
          </w:p>
        </w:tc>
        <w:tc>
          <w:tcPr>
            <w:tcW w:w="2180" w:type="pct"/>
            <w:tcBorders>
              <w:top w:val="nil"/>
              <w:left w:val="nil"/>
              <w:bottom w:val="single" w:color="auto" w:sz="4" w:space="0"/>
              <w:right w:val="single" w:color="auto" w:sz="4" w:space="0"/>
            </w:tcBorders>
            <w:vAlign w:val="center"/>
          </w:tcPr>
          <w:p w14:paraId="1C5053FD">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制定密码应用应急策略，做好应急资源准备，当密码应用安全事件发生时，应立即启动应急处置措施，结合实际情况及时处置</w:t>
            </w:r>
          </w:p>
        </w:tc>
        <w:tc>
          <w:tcPr>
            <w:tcW w:w="616" w:type="pct"/>
            <w:tcBorders>
              <w:top w:val="nil"/>
              <w:left w:val="nil"/>
              <w:bottom w:val="single" w:color="auto" w:sz="4" w:space="0"/>
              <w:right w:val="single" w:color="auto" w:sz="4" w:space="0"/>
            </w:tcBorders>
            <w:vAlign w:val="center"/>
          </w:tcPr>
          <w:p w14:paraId="4E8A6EF5">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19E14B67">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0C5EDB6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40</w:t>
            </w:r>
          </w:p>
        </w:tc>
        <w:tc>
          <w:tcPr>
            <w:tcW w:w="256" w:type="pct"/>
            <w:vMerge w:val="continue"/>
            <w:tcBorders>
              <w:top w:val="nil"/>
              <w:left w:val="single" w:color="auto" w:sz="4" w:space="0"/>
              <w:bottom w:val="single" w:color="auto" w:sz="4" w:space="0"/>
              <w:right w:val="single" w:color="auto" w:sz="4" w:space="0"/>
            </w:tcBorders>
            <w:vAlign w:val="center"/>
          </w:tcPr>
          <w:p w14:paraId="2C79623B">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393E832E">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58C7ABCC">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事件处置</w:t>
            </w:r>
          </w:p>
        </w:tc>
        <w:tc>
          <w:tcPr>
            <w:tcW w:w="2180" w:type="pct"/>
            <w:tcBorders>
              <w:top w:val="nil"/>
              <w:left w:val="nil"/>
              <w:bottom w:val="single" w:color="auto" w:sz="4" w:space="0"/>
              <w:right w:val="single" w:color="auto" w:sz="4" w:space="0"/>
            </w:tcBorders>
            <w:vAlign w:val="center"/>
          </w:tcPr>
          <w:p w14:paraId="2E728550">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事件发生后，应及时向信息系统主管部门进行报告</w:t>
            </w:r>
          </w:p>
        </w:tc>
        <w:tc>
          <w:tcPr>
            <w:tcW w:w="616" w:type="pct"/>
            <w:tcBorders>
              <w:top w:val="nil"/>
              <w:left w:val="nil"/>
              <w:bottom w:val="single" w:color="auto" w:sz="4" w:space="0"/>
              <w:right w:val="single" w:color="auto" w:sz="4" w:space="0"/>
            </w:tcBorders>
            <w:vAlign w:val="center"/>
          </w:tcPr>
          <w:p w14:paraId="36189D3F">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r w14:paraId="01F7CC38">
        <w:tblPrEx>
          <w:tblCellMar>
            <w:top w:w="0" w:type="dxa"/>
            <w:left w:w="108" w:type="dxa"/>
            <w:bottom w:w="0" w:type="dxa"/>
            <w:right w:w="108" w:type="dxa"/>
          </w:tblCellMar>
        </w:tblPrEx>
        <w:trPr>
          <w:cantSplit/>
        </w:trPr>
        <w:tc>
          <w:tcPr>
            <w:tcW w:w="364" w:type="pct"/>
            <w:tcBorders>
              <w:top w:val="nil"/>
              <w:left w:val="single" w:color="auto" w:sz="4" w:space="0"/>
              <w:bottom w:val="single" w:color="auto" w:sz="4" w:space="0"/>
              <w:right w:val="single" w:color="auto" w:sz="4" w:space="0"/>
            </w:tcBorders>
            <w:vAlign w:val="center"/>
          </w:tcPr>
          <w:p w14:paraId="6753C1D3">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41</w:t>
            </w:r>
          </w:p>
        </w:tc>
        <w:tc>
          <w:tcPr>
            <w:tcW w:w="256" w:type="pct"/>
            <w:vMerge w:val="continue"/>
            <w:tcBorders>
              <w:top w:val="nil"/>
              <w:left w:val="single" w:color="auto" w:sz="4" w:space="0"/>
              <w:bottom w:val="single" w:color="auto" w:sz="4" w:space="0"/>
              <w:right w:val="single" w:color="auto" w:sz="4" w:space="0"/>
            </w:tcBorders>
            <w:vAlign w:val="center"/>
          </w:tcPr>
          <w:p w14:paraId="15899C24">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658" w:type="pct"/>
            <w:vMerge w:val="continue"/>
            <w:tcBorders>
              <w:top w:val="nil"/>
              <w:left w:val="single" w:color="auto" w:sz="4" w:space="0"/>
              <w:bottom w:val="single" w:color="auto" w:sz="4" w:space="0"/>
              <w:right w:val="single" w:color="auto" w:sz="4" w:space="0"/>
            </w:tcBorders>
            <w:vAlign w:val="center"/>
          </w:tcPr>
          <w:p w14:paraId="3C2C4F44">
            <w:pPr>
              <w:autoSpaceDE/>
              <w:autoSpaceDN/>
              <w:snapToGrid w:val="0"/>
              <w:spacing w:line="240" w:lineRule="auto"/>
              <w:ind w:firstLine="0" w:firstLineChars="0"/>
              <w:jc w:val="center"/>
              <w:rPr>
                <w:rFonts w:ascii="仿宋_GB2312" w:hAnsi="Times New Roman" w:cs="Times New Roman"/>
                <w:kern w:val="2"/>
                <w:sz w:val="21"/>
                <w:szCs w:val="21"/>
                <w:lang w:val="en-US" w:bidi="ar-SA"/>
              </w:rPr>
            </w:pPr>
          </w:p>
        </w:tc>
        <w:tc>
          <w:tcPr>
            <w:tcW w:w="923" w:type="pct"/>
            <w:tcBorders>
              <w:top w:val="nil"/>
              <w:left w:val="nil"/>
              <w:bottom w:val="single" w:color="auto" w:sz="4" w:space="0"/>
              <w:right w:val="single" w:color="auto" w:sz="4" w:space="0"/>
            </w:tcBorders>
            <w:vAlign w:val="center"/>
          </w:tcPr>
          <w:p w14:paraId="15D8FB5B">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向有关主管部门上报处置情况</w:t>
            </w:r>
          </w:p>
        </w:tc>
        <w:tc>
          <w:tcPr>
            <w:tcW w:w="2180" w:type="pct"/>
            <w:tcBorders>
              <w:top w:val="nil"/>
              <w:left w:val="nil"/>
              <w:bottom w:val="single" w:color="auto" w:sz="4" w:space="0"/>
              <w:right w:val="single" w:color="auto" w:sz="4" w:space="0"/>
            </w:tcBorders>
            <w:vAlign w:val="center"/>
          </w:tcPr>
          <w:p w14:paraId="45D25C40">
            <w:pPr>
              <w:autoSpaceDE/>
              <w:autoSpaceDN/>
              <w:snapToGrid w:val="0"/>
              <w:spacing w:line="240" w:lineRule="auto"/>
              <w:ind w:firstLine="0" w:firstLineChars="0"/>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事件处置完成后，应及时向信息系统主管部门及归属的密码管理部门报告事件发生情况及处置情况</w:t>
            </w:r>
          </w:p>
        </w:tc>
        <w:tc>
          <w:tcPr>
            <w:tcW w:w="616" w:type="pct"/>
            <w:tcBorders>
              <w:top w:val="nil"/>
              <w:left w:val="nil"/>
              <w:bottom w:val="single" w:color="auto" w:sz="4" w:space="0"/>
              <w:right w:val="single" w:color="auto" w:sz="4" w:space="0"/>
            </w:tcBorders>
            <w:vAlign w:val="center"/>
          </w:tcPr>
          <w:p w14:paraId="472B933E">
            <w:pPr>
              <w:autoSpaceDE/>
              <w:autoSpaceDN/>
              <w:snapToGrid w:val="0"/>
              <w:spacing w:line="240" w:lineRule="auto"/>
              <w:ind w:firstLine="0" w:firstLineChars="0"/>
              <w:jc w:val="center"/>
              <w:rPr>
                <w:rFonts w:ascii="仿宋_GB2312" w:hAnsi="Times New Roman" w:cs="Times New Roman"/>
                <w:kern w:val="2"/>
                <w:sz w:val="21"/>
                <w:szCs w:val="21"/>
                <w:lang w:val="en-US" w:bidi="ar-SA"/>
              </w:rPr>
            </w:pPr>
            <w:r>
              <w:rPr>
                <w:rFonts w:hint="eastAsia" w:ascii="仿宋_GB2312" w:hAnsi="方正仿宋_GB2312" w:cs="方正仿宋_GB2312"/>
                <w:kern w:val="2"/>
                <w:sz w:val="21"/>
                <w:szCs w:val="21"/>
                <w:lang w:val="en-US" w:bidi="ar-SA"/>
              </w:rPr>
              <w:t>符合</w:t>
            </w:r>
          </w:p>
        </w:tc>
      </w:tr>
    </w:tbl>
    <w:p w14:paraId="75B7E1D3">
      <w:pPr>
        <w:ind w:firstLine="480"/>
        <w:jc w:val="center"/>
        <w:rPr>
          <w:rFonts w:hint="eastAsia"/>
        </w:rPr>
      </w:pPr>
      <w:r>
        <w:rPr>
          <w:rFonts w:hint="eastAsia"/>
        </w:rPr>
        <w:t>安全与合规性对标表</w:t>
      </w:r>
    </w:p>
    <w:p w14:paraId="75B7E2FA">
      <w:pPr>
        <w:ind w:firstLine="480"/>
        <w:rPr>
          <w:rFonts w:hint="eastAsia"/>
        </w:rPr>
      </w:pPr>
    </w:p>
    <w:p w14:paraId="75B7E2FB">
      <w:pPr>
        <w:pStyle w:val="4"/>
        <w:rPr>
          <w:rFonts w:hint="eastAsia"/>
        </w:rPr>
      </w:pPr>
      <w:bookmarkStart w:id="191" w:name="_Toc16373"/>
      <w:r>
        <w:rPr>
          <w:rFonts w:hint="eastAsia"/>
        </w:rPr>
        <w:t>密码产品和服务应用情况</w:t>
      </w:r>
      <w:bookmarkEnd w:id="191"/>
    </w:p>
    <w:p w14:paraId="75B7E2FC">
      <w:pPr>
        <w:ind w:firstLine="480"/>
        <w:rPr>
          <w:rFonts w:hint="eastAsia"/>
        </w:rPr>
      </w:pPr>
      <w:r>
        <w:rPr>
          <w:rFonts w:hint="eastAsia"/>
        </w:rPr>
        <w:t>本项目只对密码应用测评方案进行设计，仅提供相关需求，不进行密码相关产品建设。</w:t>
      </w:r>
    </w:p>
    <w:p w14:paraId="75B7E2FD">
      <w:pPr>
        <w:ind w:firstLine="480"/>
        <w:rPr>
          <w:rFonts w:hint="eastAsia"/>
        </w:rPr>
      </w:pPr>
      <w:r>
        <w:rPr>
          <w:rFonts w:hint="eastAsia"/>
        </w:rPr>
        <w:t>本项目所需要的密码服务功能包括机密性、数据完整性、真实性、不可否认性。涉及的数据包括身份鉴别数据、业务系统数据、日志数据。</w:t>
      </w:r>
    </w:p>
    <w:p w14:paraId="75B7E2FE">
      <w:pPr>
        <w:ind w:firstLine="480"/>
        <w:rPr>
          <w:rFonts w:hint="eastAsia"/>
        </w:rPr>
      </w:pPr>
      <w:r>
        <w:rPr>
          <w:rFonts w:hint="eastAsia"/>
        </w:rPr>
        <w:t>具体情况如下：</w:t>
      </w:r>
    </w:p>
    <w:p w14:paraId="75B7E2FF">
      <w:pPr>
        <w:ind w:firstLine="480"/>
        <w:jc w:val="center"/>
        <w:rPr>
          <w:rFonts w:hint="eastAsia"/>
        </w:rPr>
      </w:pPr>
      <w:r>
        <w:rPr>
          <w:rFonts w:hint="eastAsia"/>
        </w:rPr>
        <w:t>密码服务功能表</w:t>
      </w:r>
    </w:p>
    <w:tbl>
      <w:tblPr>
        <w:tblStyle w:val="38"/>
        <w:tblW w:w="48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1747"/>
        <w:gridCol w:w="5640"/>
      </w:tblGrid>
      <w:tr w14:paraId="75B7E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16" w:type="pct"/>
            <w:shd w:val="clear" w:color="auto" w:fill="D0CECE"/>
          </w:tcPr>
          <w:p w14:paraId="75B7E300">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bCs/>
                <w:kern w:val="2"/>
                <w:sz w:val="21"/>
                <w:szCs w:val="21"/>
                <w:lang w:val="en-US" w:bidi="ar-SA"/>
              </w:rPr>
              <w:t>序号</w:t>
            </w:r>
          </w:p>
        </w:tc>
        <w:tc>
          <w:tcPr>
            <w:tcW w:w="1084" w:type="pct"/>
            <w:shd w:val="clear" w:color="auto" w:fill="D0CECE"/>
          </w:tcPr>
          <w:p w14:paraId="75B7E301">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bCs/>
                <w:kern w:val="2"/>
                <w:sz w:val="21"/>
                <w:szCs w:val="21"/>
                <w:lang w:val="en-US" w:bidi="ar-SA"/>
              </w:rPr>
              <w:t>产品/服务</w:t>
            </w:r>
          </w:p>
        </w:tc>
        <w:tc>
          <w:tcPr>
            <w:tcW w:w="3499" w:type="pct"/>
            <w:shd w:val="clear" w:color="auto" w:fill="D0CECE"/>
          </w:tcPr>
          <w:p w14:paraId="75B7E302">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bCs/>
                <w:kern w:val="2"/>
                <w:sz w:val="21"/>
                <w:szCs w:val="21"/>
                <w:lang w:val="en-US" w:bidi="ar-SA"/>
              </w:rPr>
              <w:t>功能简要描述</w:t>
            </w:r>
          </w:p>
        </w:tc>
      </w:tr>
      <w:tr w14:paraId="75B7E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6" w:type="pct"/>
            <w:vAlign w:val="center"/>
          </w:tcPr>
          <w:p w14:paraId="75B7E304">
            <w:pPr>
              <w:autoSpaceDE/>
              <w:autoSpaceDN/>
              <w:spacing w:line="560" w:lineRule="exact"/>
              <w:ind w:firstLine="0" w:firstLineChars="0"/>
              <w:jc w:val="center"/>
              <w:rPr>
                <w:rFonts w:ascii="仿宋_GB2312" w:hAnsi="Times New Roman" w:cs="Times New Roman"/>
                <w:bCs/>
                <w:kern w:val="2"/>
                <w:sz w:val="21"/>
                <w:szCs w:val="21"/>
                <w:lang w:val="en-US" w:bidi="ar-SA"/>
              </w:rPr>
            </w:pPr>
            <w:r>
              <w:rPr>
                <w:rFonts w:hint="eastAsia" w:ascii="仿宋_GB2312" w:hAnsi="Times New Roman" w:cs="Times New Roman"/>
                <w:bCs/>
                <w:kern w:val="2"/>
                <w:sz w:val="21"/>
                <w:szCs w:val="21"/>
                <w:lang w:val="en-US" w:bidi="ar-SA"/>
              </w:rPr>
              <w:t>1</w:t>
            </w:r>
          </w:p>
        </w:tc>
        <w:tc>
          <w:tcPr>
            <w:tcW w:w="1084" w:type="pct"/>
            <w:vAlign w:val="center"/>
          </w:tcPr>
          <w:p w14:paraId="75B7E305">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VPN综合网关</w:t>
            </w:r>
          </w:p>
        </w:tc>
        <w:tc>
          <w:tcPr>
            <w:tcW w:w="3499" w:type="pct"/>
            <w:vAlign w:val="center"/>
          </w:tcPr>
          <w:p w14:paraId="75B7E306">
            <w:pPr>
              <w:autoSpaceDE/>
              <w:autoSpaceDN/>
              <w:spacing w:line="560" w:lineRule="exact"/>
              <w:ind w:firstLine="0" w:firstLineChars="0"/>
              <w:jc w:val="both"/>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为管理区的运维通道提供SSLVPN功能，可为运维人员远程管理接入使用，建立安全的集中管理通道。</w:t>
            </w:r>
          </w:p>
        </w:tc>
      </w:tr>
      <w:tr w14:paraId="75B7E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6" w:type="pct"/>
            <w:vAlign w:val="center"/>
          </w:tcPr>
          <w:p w14:paraId="75B7E308">
            <w:pPr>
              <w:autoSpaceDE/>
              <w:autoSpaceDN/>
              <w:spacing w:line="560" w:lineRule="exact"/>
              <w:ind w:firstLine="0" w:firstLineChars="0"/>
              <w:jc w:val="center"/>
              <w:rPr>
                <w:rFonts w:ascii="仿宋_GB2312" w:hAnsi="Times New Roman" w:cs="Times New Roman"/>
                <w:bCs/>
                <w:kern w:val="2"/>
                <w:sz w:val="21"/>
                <w:szCs w:val="21"/>
                <w:lang w:val="en-US" w:bidi="ar-SA"/>
              </w:rPr>
            </w:pPr>
            <w:r>
              <w:rPr>
                <w:rFonts w:hint="eastAsia" w:ascii="仿宋_GB2312" w:hAnsi="Times New Roman" w:cs="Times New Roman"/>
                <w:bCs/>
                <w:kern w:val="2"/>
                <w:sz w:val="21"/>
                <w:szCs w:val="21"/>
                <w:lang w:val="en-US" w:bidi="ar-SA"/>
              </w:rPr>
              <w:t>2</w:t>
            </w:r>
          </w:p>
        </w:tc>
        <w:tc>
          <w:tcPr>
            <w:tcW w:w="1084" w:type="pct"/>
            <w:vAlign w:val="center"/>
          </w:tcPr>
          <w:p w14:paraId="1400D97D">
            <w:pPr>
              <w:autoSpaceDE/>
              <w:autoSpaceDN/>
              <w:spacing w:line="560" w:lineRule="exact"/>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国密SSL代理</w:t>
            </w:r>
          </w:p>
          <w:p w14:paraId="75B7E309">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网关</w:t>
            </w:r>
          </w:p>
        </w:tc>
        <w:tc>
          <w:tcPr>
            <w:tcW w:w="3499" w:type="pct"/>
            <w:vAlign w:val="center"/>
          </w:tcPr>
          <w:p w14:paraId="75B7E30A">
            <w:pPr>
              <w:autoSpaceDE/>
              <w:autoSpaceDN/>
              <w:spacing w:line="560" w:lineRule="exact"/>
              <w:ind w:firstLine="0" w:firstLineChars="0"/>
              <w:jc w:val="both"/>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为应用系统提供SSL证书代理功能，建立安全的国密HTTPS传输通道，保证通信数据传输机密性及完整性。</w:t>
            </w:r>
          </w:p>
        </w:tc>
      </w:tr>
      <w:tr w14:paraId="75B7E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6" w:type="pct"/>
            <w:vAlign w:val="center"/>
          </w:tcPr>
          <w:p w14:paraId="75B7E30C">
            <w:pPr>
              <w:autoSpaceDE/>
              <w:autoSpaceDN/>
              <w:spacing w:line="560" w:lineRule="exact"/>
              <w:ind w:firstLine="0" w:firstLineChars="0"/>
              <w:jc w:val="center"/>
              <w:rPr>
                <w:rFonts w:ascii="仿宋_GB2312" w:hAnsi="Times New Roman" w:cs="Times New Roman"/>
                <w:bCs/>
                <w:kern w:val="2"/>
                <w:sz w:val="21"/>
                <w:szCs w:val="21"/>
                <w:lang w:val="en-US" w:bidi="ar-SA"/>
              </w:rPr>
            </w:pPr>
            <w:r>
              <w:rPr>
                <w:rFonts w:hint="eastAsia" w:ascii="仿宋_GB2312" w:hAnsi="Times New Roman" w:cs="Times New Roman"/>
                <w:bCs/>
                <w:kern w:val="2"/>
                <w:sz w:val="21"/>
                <w:szCs w:val="21"/>
                <w:lang w:val="en-US" w:bidi="ar-SA"/>
              </w:rPr>
              <w:t>3</w:t>
            </w:r>
          </w:p>
        </w:tc>
        <w:tc>
          <w:tcPr>
            <w:tcW w:w="1084" w:type="pct"/>
            <w:vAlign w:val="center"/>
          </w:tcPr>
          <w:p w14:paraId="75B7E30D">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云密码机</w:t>
            </w:r>
          </w:p>
        </w:tc>
        <w:tc>
          <w:tcPr>
            <w:tcW w:w="3499" w:type="pct"/>
            <w:vAlign w:val="center"/>
          </w:tcPr>
          <w:p w14:paraId="75B7E30E">
            <w:pPr>
              <w:autoSpaceDE/>
              <w:autoSpaceDN/>
              <w:spacing w:line="560" w:lineRule="exact"/>
              <w:ind w:firstLine="0" w:firstLineChars="0"/>
              <w:jc w:val="both"/>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为系统自身提供资源数据加解密及完整性保护。</w:t>
            </w:r>
          </w:p>
        </w:tc>
      </w:tr>
      <w:tr w14:paraId="75B7E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6" w:type="pct"/>
            <w:vAlign w:val="center"/>
          </w:tcPr>
          <w:p w14:paraId="75B7E310">
            <w:pPr>
              <w:autoSpaceDE/>
              <w:autoSpaceDN/>
              <w:spacing w:line="560" w:lineRule="exact"/>
              <w:ind w:firstLine="0" w:firstLineChars="0"/>
              <w:jc w:val="center"/>
              <w:rPr>
                <w:rFonts w:ascii="仿宋_GB2312" w:hAnsi="Times New Roman" w:cs="Times New Roman"/>
                <w:bCs/>
                <w:kern w:val="2"/>
                <w:sz w:val="21"/>
                <w:szCs w:val="21"/>
                <w:lang w:val="en-US" w:bidi="ar-SA"/>
              </w:rPr>
            </w:pPr>
            <w:r>
              <w:rPr>
                <w:rFonts w:hint="eastAsia" w:ascii="仿宋_GB2312" w:hAnsi="Times New Roman" w:cs="Times New Roman"/>
                <w:bCs/>
                <w:kern w:val="2"/>
                <w:sz w:val="21"/>
                <w:szCs w:val="21"/>
                <w:lang w:val="en-US" w:bidi="ar-SA"/>
              </w:rPr>
              <w:t>4</w:t>
            </w:r>
          </w:p>
        </w:tc>
        <w:tc>
          <w:tcPr>
            <w:tcW w:w="1084" w:type="pct"/>
            <w:vAlign w:val="center"/>
          </w:tcPr>
          <w:p w14:paraId="75B7E311">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安全电子门禁</w:t>
            </w:r>
          </w:p>
        </w:tc>
        <w:tc>
          <w:tcPr>
            <w:tcW w:w="3499" w:type="pct"/>
            <w:vAlign w:val="center"/>
          </w:tcPr>
          <w:p w14:paraId="75B7E312">
            <w:pPr>
              <w:autoSpaceDE/>
              <w:autoSpaceDN/>
              <w:spacing w:line="560" w:lineRule="exact"/>
              <w:ind w:firstLine="0" w:firstLineChars="0"/>
              <w:jc w:val="both"/>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机房进出人员的身份鉴别和进出记录完整性保护。</w:t>
            </w:r>
          </w:p>
        </w:tc>
      </w:tr>
      <w:tr w14:paraId="75B7E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6" w:type="pct"/>
            <w:vAlign w:val="center"/>
          </w:tcPr>
          <w:p w14:paraId="75B7E314">
            <w:pPr>
              <w:autoSpaceDE/>
              <w:autoSpaceDN/>
              <w:spacing w:line="560" w:lineRule="exact"/>
              <w:ind w:firstLine="0" w:firstLineChars="0"/>
              <w:jc w:val="center"/>
              <w:rPr>
                <w:rFonts w:ascii="仿宋_GB2312" w:hAnsi="Times New Roman" w:cs="Times New Roman"/>
                <w:bCs/>
                <w:kern w:val="2"/>
                <w:sz w:val="21"/>
                <w:szCs w:val="21"/>
                <w:lang w:val="en-US" w:bidi="ar-SA"/>
              </w:rPr>
            </w:pPr>
            <w:r>
              <w:rPr>
                <w:rFonts w:hint="eastAsia" w:ascii="仿宋_GB2312" w:hAnsi="Times New Roman" w:cs="Times New Roman"/>
                <w:bCs/>
                <w:kern w:val="2"/>
                <w:sz w:val="21"/>
                <w:szCs w:val="21"/>
                <w:lang w:val="en-US" w:bidi="ar-SA"/>
              </w:rPr>
              <w:t>5</w:t>
            </w:r>
          </w:p>
        </w:tc>
        <w:tc>
          <w:tcPr>
            <w:tcW w:w="1084" w:type="pct"/>
            <w:vAlign w:val="center"/>
          </w:tcPr>
          <w:p w14:paraId="022A75D2">
            <w:pPr>
              <w:autoSpaceDE/>
              <w:autoSpaceDN/>
              <w:spacing w:line="560" w:lineRule="exact"/>
              <w:ind w:firstLine="0" w:firstLineChars="0"/>
              <w:jc w:val="center"/>
              <w:rPr>
                <w:rFonts w:hint="eastAsia" w:ascii="仿宋_GB2312" w:hAnsi="方正仿宋_GB2312" w:cs="方正仿宋_GB2312"/>
                <w:kern w:val="2"/>
                <w:sz w:val="21"/>
                <w:szCs w:val="21"/>
                <w:lang w:val="en-US" w:bidi="ar-SA"/>
              </w:rPr>
            </w:pPr>
            <w:r>
              <w:rPr>
                <w:rFonts w:hint="eastAsia" w:ascii="仿宋_GB2312" w:hAnsi="方正仿宋_GB2312" w:cs="方正仿宋_GB2312"/>
                <w:kern w:val="2"/>
                <w:sz w:val="21"/>
                <w:szCs w:val="21"/>
                <w:lang w:val="en-US" w:bidi="ar-SA"/>
              </w:rPr>
              <w:t>安全视频监控</w:t>
            </w:r>
          </w:p>
          <w:p w14:paraId="75B7E315">
            <w:pPr>
              <w:autoSpaceDE/>
              <w:autoSpaceDN/>
              <w:spacing w:line="560" w:lineRule="exact"/>
              <w:ind w:firstLine="0" w:firstLineChars="0"/>
              <w:jc w:val="center"/>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系统</w:t>
            </w:r>
          </w:p>
        </w:tc>
        <w:tc>
          <w:tcPr>
            <w:tcW w:w="3499" w:type="pct"/>
            <w:vAlign w:val="center"/>
          </w:tcPr>
          <w:p w14:paraId="75B7E316">
            <w:pPr>
              <w:autoSpaceDE/>
              <w:autoSpaceDN/>
              <w:spacing w:line="560" w:lineRule="exact"/>
              <w:ind w:firstLine="0" w:firstLineChars="0"/>
              <w:jc w:val="both"/>
              <w:rPr>
                <w:rFonts w:hint="eastAsia" w:ascii="仿宋_GB2312" w:cs="Times New Roman"/>
                <w:bCs/>
                <w:kern w:val="2"/>
                <w:sz w:val="21"/>
                <w:szCs w:val="21"/>
                <w:lang w:val="en-US" w:bidi="ar-SA"/>
              </w:rPr>
            </w:pPr>
            <w:r>
              <w:rPr>
                <w:rFonts w:hint="eastAsia" w:ascii="仿宋_GB2312" w:hAnsi="方正仿宋_GB2312" w:cs="方正仿宋_GB2312"/>
                <w:kern w:val="2"/>
                <w:sz w:val="21"/>
                <w:szCs w:val="21"/>
                <w:lang w:val="en-US" w:bidi="ar-SA"/>
              </w:rPr>
              <w:t>机房人员监控，视频数据完整性保护。</w:t>
            </w:r>
          </w:p>
        </w:tc>
      </w:tr>
    </w:tbl>
    <w:p w14:paraId="75B7E318">
      <w:pPr>
        <w:ind w:firstLine="480"/>
        <w:rPr>
          <w:rFonts w:hint="eastAsia"/>
          <w:lang w:val="en-US"/>
        </w:rPr>
      </w:pPr>
    </w:p>
    <w:p w14:paraId="75B7E319">
      <w:pPr>
        <w:pStyle w:val="3"/>
      </w:pPr>
      <w:bookmarkStart w:id="192" w:name="_Toc1846"/>
      <w:r>
        <w:rPr>
          <w:rFonts w:hint="eastAsia"/>
        </w:rPr>
        <w:t>运行维护体系方案</w:t>
      </w:r>
      <w:bookmarkEnd w:id="192"/>
    </w:p>
    <w:p w14:paraId="75B7E31A">
      <w:pPr>
        <w:ind w:firstLine="480"/>
        <w:rPr>
          <w:rFonts w:hint="eastAsia"/>
        </w:rPr>
      </w:pPr>
      <w:r>
        <w:rPr>
          <w:rFonts w:hint="eastAsia"/>
        </w:rPr>
        <w:t>运行维护管理体系建设的基本思路是：</w:t>
      </w:r>
      <w:r>
        <w:rPr>
          <w:rFonts w:hint="eastAsia"/>
          <w:lang w:val="en-US"/>
        </w:rPr>
        <w:t>运维机构（中标的建设单位）</w:t>
      </w:r>
      <w:r>
        <w:rPr>
          <w:rFonts w:hint="eastAsia"/>
        </w:rPr>
        <w:t>按照信息系统服务管理理论、方法和标准，结合项目的实际需要，借鉴和参考建设经验和实践，遵循统筹规划、统一领导，遵循标准、切合实际、突出重点、分步实施、务求实效、逐渐完善的建设原则，逐步建立一套融合组织、制度、流程、人员、技术的信息系统服务管理体系，健全组织机构，明确职责分工，制定规章制度，规范管理流程，强化技术支撑，实现对网络及信息系统的综合管理监控和日常技术支持，快速响应和及时解决信息系统运行过程中出现的各种问题和故障，确保网络及信息系统正常、稳定、高效运行。</w:t>
      </w:r>
    </w:p>
    <w:p w14:paraId="75B7E31B">
      <w:pPr>
        <w:ind w:firstLine="480"/>
        <w:rPr>
          <w:rFonts w:hint="eastAsia"/>
        </w:rPr>
      </w:pPr>
      <w:r>
        <w:t>运维机构将全面负责岳阳市森林火灾高风险区综合治理能力提升项目建成后的系统运行维护工作，确保系统稳定可靠。</w:t>
      </w:r>
    </w:p>
    <w:p w14:paraId="75B7E31C">
      <w:pPr>
        <w:ind w:firstLine="480"/>
        <w:rPr>
          <w:rFonts w:hint="eastAsia"/>
        </w:rPr>
      </w:pPr>
      <w:r>
        <w:t>1）定期对服务器、存储设备及网络设备进行检查与维护，预防硬件故障发生；</w:t>
      </w:r>
    </w:p>
    <w:p w14:paraId="75B7E31D">
      <w:pPr>
        <w:ind w:firstLine="480"/>
        <w:rPr>
          <w:rFonts w:hint="eastAsia"/>
        </w:rPr>
      </w:pPr>
      <w:r>
        <w:t>2）监控系统软件运行状态，及时处理异常报警，保障业务连续性；</w:t>
      </w:r>
    </w:p>
    <w:p w14:paraId="75B7E31E">
      <w:pPr>
        <w:ind w:firstLine="480"/>
        <w:rPr>
          <w:rFonts w:hint="eastAsia"/>
        </w:rPr>
      </w:pPr>
      <w:r>
        <w:t>3）执行数据备份策略，定期进行恢复演练，确保数据安全完整；</w:t>
      </w:r>
    </w:p>
    <w:p w14:paraId="75B7E31F">
      <w:pPr>
        <w:ind w:firstLine="480"/>
        <w:rPr>
          <w:rFonts w:hint="eastAsia"/>
        </w:rPr>
      </w:pPr>
      <w:r>
        <w:t>4）开展安全漏洞扫描与补丁更新，防范网络攻击风险。</w:t>
      </w:r>
    </w:p>
    <w:p w14:paraId="75B7E320">
      <w:pPr>
        <w:ind w:firstLine="480"/>
        <w:rPr>
          <w:rFonts w:hint="eastAsia"/>
        </w:rPr>
      </w:pPr>
      <w:r>
        <w:t>通过专业化维护服务，延长系统使用寿命，降低运维成本，为森林防火工作提供坚实技术支撑。</w:t>
      </w:r>
    </w:p>
    <w:p w14:paraId="75B7E321">
      <w:pPr>
        <w:ind w:firstLine="480"/>
        <w:rPr>
          <w:rFonts w:hint="eastAsia"/>
        </w:rPr>
      </w:pPr>
      <w:r>
        <w:t>运维机构将承担岳阳市森林火灾高风险区综合治理能力提升项目信息化建设的管理职责，推动系统持续优化升级。在系统运行过程中，运维机构将收集用户反馈意见，分析系统使用情况，提出改进建议。针对业务发展需求，运维机构将协助制定系统扩容、功能扩展及版本迭代计划，确保信息化建设与时俱进。运维机构将建立健全信息化管理制度，规范系统操作流程，提升用户操作水平。通过科学管理与持续优化，不断提升系统应用效能，助力森林防火治理能力现代化。</w:t>
      </w:r>
    </w:p>
    <w:tbl>
      <w:tblPr>
        <w:tblStyle w:val="38"/>
        <w:tblW w:w="49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40" w:type="dxa"/>
          <w:bottom w:w="0" w:type="dxa"/>
          <w:right w:w="140" w:type="dxa"/>
        </w:tblCellMar>
      </w:tblPr>
      <w:tblGrid>
        <w:gridCol w:w="1808"/>
        <w:gridCol w:w="2486"/>
        <w:gridCol w:w="3842"/>
      </w:tblGrid>
      <w:tr w14:paraId="75B7E3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40" w:type="dxa"/>
            <w:bottom w:w="0" w:type="dxa"/>
            <w:right w:w="140" w:type="dxa"/>
          </w:tblCellMar>
        </w:tblPrEx>
        <w:trPr>
          <w:jc w:val="center"/>
        </w:trPr>
        <w:tc>
          <w:tcPr>
            <w:tcW w:w="0" w:type="auto"/>
            <w:tcMar>
              <w:top w:w="0" w:type="dxa"/>
              <w:left w:w="140" w:type="dxa"/>
              <w:bottom w:w="0" w:type="dxa"/>
              <w:right w:w="140" w:type="dxa"/>
            </w:tcMar>
            <w:vAlign w:val="center"/>
          </w:tcPr>
          <w:p w14:paraId="75B7E322">
            <w:pPr>
              <w:pStyle w:val="213"/>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安全层级</w:t>
            </w:r>
          </w:p>
        </w:tc>
        <w:tc>
          <w:tcPr>
            <w:tcW w:w="0" w:type="auto"/>
            <w:tcMar>
              <w:top w:w="0" w:type="dxa"/>
              <w:left w:w="140" w:type="dxa"/>
              <w:bottom w:w="0" w:type="dxa"/>
              <w:right w:w="140" w:type="dxa"/>
            </w:tcMar>
            <w:vAlign w:val="center"/>
          </w:tcPr>
          <w:p w14:paraId="75B7E323">
            <w:pPr>
              <w:pStyle w:val="213"/>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防护重点</w:t>
            </w:r>
          </w:p>
        </w:tc>
        <w:tc>
          <w:tcPr>
            <w:tcW w:w="0" w:type="auto"/>
            <w:tcMar>
              <w:top w:w="0" w:type="dxa"/>
              <w:left w:w="140" w:type="dxa"/>
              <w:bottom w:w="0" w:type="dxa"/>
              <w:right w:w="140" w:type="dxa"/>
            </w:tcMar>
            <w:vAlign w:val="center"/>
          </w:tcPr>
          <w:p w14:paraId="75B7E324">
            <w:pPr>
              <w:pStyle w:val="213"/>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技术手段</w:t>
            </w:r>
          </w:p>
        </w:tc>
      </w:tr>
      <w:tr w14:paraId="75B7E3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40" w:type="dxa"/>
            <w:bottom w:w="0" w:type="dxa"/>
            <w:right w:w="140" w:type="dxa"/>
          </w:tblCellMar>
        </w:tblPrEx>
        <w:trPr>
          <w:jc w:val="center"/>
        </w:trPr>
        <w:tc>
          <w:tcPr>
            <w:tcW w:w="0" w:type="auto"/>
            <w:tcMar>
              <w:top w:w="0" w:type="dxa"/>
              <w:left w:w="140" w:type="dxa"/>
              <w:bottom w:w="0" w:type="dxa"/>
              <w:right w:w="140" w:type="dxa"/>
            </w:tcMar>
            <w:vAlign w:val="center"/>
          </w:tcPr>
          <w:p w14:paraId="75B7E326">
            <w:pPr>
              <w:pStyle w:val="214"/>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物理安全</w:t>
            </w:r>
          </w:p>
        </w:tc>
        <w:tc>
          <w:tcPr>
            <w:tcW w:w="0" w:type="auto"/>
            <w:tcMar>
              <w:top w:w="0" w:type="dxa"/>
              <w:left w:w="140" w:type="dxa"/>
              <w:bottom w:w="0" w:type="dxa"/>
              <w:right w:w="140" w:type="dxa"/>
            </w:tcMar>
            <w:vAlign w:val="center"/>
          </w:tcPr>
          <w:p w14:paraId="75B7E327">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机房环境监控</w:t>
            </w:r>
          </w:p>
        </w:tc>
        <w:tc>
          <w:tcPr>
            <w:tcW w:w="0" w:type="auto"/>
            <w:tcMar>
              <w:top w:w="0" w:type="dxa"/>
              <w:left w:w="140" w:type="dxa"/>
              <w:bottom w:w="0" w:type="dxa"/>
              <w:right w:w="140" w:type="dxa"/>
            </w:tcMar>
            <w:vAlign w:val="center"/>
          </w:tcPr>
          <w:p w14:paraId="75B7E328">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温湿度控制与门禁管理</w:t>
            </w:r>
          </w:p>
        </w:tc>
      </w:tr>
      <w:tr w14:paraId="75B7E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40" w:type="dxa"/>
            <w:bottom w:w="0" w:type="dxa"/>
            <w:right w:w="140" w:type="dxa"/>
          </w:tblCellMar>
        </w:tblPrEx>
        <w:trPr>
          <w:jc w:val="center"/>
        </w:trPr>
        <w:tc>
          <w:tcPr>
            <w:tcW w:w="0" w:type="auto"/>
            <w:tcMar>
              <w:top w:w="0" w:type="dxa"/>
              <w:left w:w="140" w:type="dxa"/>
              <w:bottom w:w="0" w:type="dxa"/>
              <w:right w:w="140" w:type="dxa"/>
            </w:tcMar>
            <w:vAlign w:val="center"/>
          </w:tcPr>
          <w:p w14:paraId="75B7E32A">
            <w:pPr>
              <w:pStyle w:val="214"/>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w:t>
            </w:r>
          </w:p>
        </w:tc>
        <w:tc>
          <w:tcPr>
            <w:tcW w:w="0" w:type="auto"/>
            <w:tcMar>
              <w:top w:w="0" w:type="dxa"/>
              <w:left w:w="140" w:type="dxa"/>
              <w:bottom w:w="0" w:type="dxa"/>
              <w:right w:w="140" w:type="dxa"/>
            </w:tcMar>
            <w:vAlign w:val="center"/>
          </w:tcPr>
          <w:p w14:paraId="75B7E32B">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边界访问控制</w:t>
            </w:r>
          </w:p>
        </w:tc>
        <w:tc>
          <w:tcPr>
            <w:tcW w:w="0" w:type="auto"/>
            <w:tcMar>
              <w:top w:w="0" w:type="dxa"/>
              <w:left w:w="140" w:type="dxa"/>
              <w:bottom w:w="0" w:type="dxa"/>
              <w:right w:w="140" w:type="dxa"/>
            </w:tcMar>
            <w:vAlign w:val="center"/>
          </w:tcPr>
          <w:p w14:paraId="75B7E32C">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防火墙与入侵检测系统</w:t>
            </w:r>
          </w:p>
        </w:tc>
      </w:tr>
      <w:tr w14:paraId="75B7E3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40" w:type="dxa"/>
            <w:bottom w:w="0" w:type="dxa"/>
            <w:right w:w="140" w:type="dxa"/>
          </w:tblCellMar>
        </w:tblPrEx>
        <w:trPr>
          <w:jc w:val="center"/>
        </w:trPr>
        <w:tc>
          <w:tcPr>
            <w:tcW w:w="0" w:type="auto"/>
            <w:tcMar>
              <w:top w:w="0" w:type="dxa"/>
              <w:left w:w="140" w:type="dxa"/>
              <w:bottom w:w="0" w:type="dxa"/>
              <w:right w:w="140" w:type="dxa"/>
            </w:tcMar>
            <w:vAlign w:val="center"/>
          </w:tcPr>
          <w:p w14:paraId="75B7E32E">
            <w:pPr>
              <w:pStyle w:val="214"/>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数据安全</w:t>
            </w:r>
          </w:p>
        </w:tc>
        <w:tc>
          <w:tcPr>
            <w:tcW w:w="0" w:type="auto"/>
            <w:tcMar>
              <w:top w:w="0" w:type="dxa"/>
              <w:left w:w="140" w:type="dxa"/>
              <w:bottom w:w="0" w:type="dxa"/>
              <w:right w:w="140" w:type="dxa"/>
            </w:tcMar>
            <w:vAlign w:val="center"/>
          </w:tcPr>
          <w:p w14:paraId="75B7E32F">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敏感信息加密</w:t>
            </w:r>
          </w:p>
        </w:tc>
        <w:tc>
          <w:tcPr>
            <w:tcW w:w="0" w:type="auto"/>
            <w:tcMar>
              <w:top w:w="0" w:type="dxa"/>
              <w:left w:w="140" w:type="dxa"/>
              <w:bottom w:w="0" w:type="dxa"/>
              <w:right w:w="140" w:type="dxa"/>
            </w:tcMar>
            <w:vAlign w:val="center"/>
          </w:tcPr>
          <w:p w14:paraId="75B7E330">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国密算法与数据脱敏</w:t>
            </w:r>
          </w:p>
        </w:tc>
      </w:tr>
      <w:tr w14:paraId="75B7E3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40" w:type="dxa"/>
            <w:bottom w:w="0" w:type="dxa"/>
            <w:right w:w="140" w:type="dxa"/>
          </w:tblCellMar>
        </w:tblPrEx>
        <w:trPr>
          <w:jc w:val="center"/>
        </w:trPr>
        <w:tc>
          <w:tcPr>
            <w:tcW w:w="0" w:type="auto"/>
            <w:tcMar>
              <w:top w:w="0" w:type="dxa"/>
              <w:left w:w="140" w:type="dxa"/>
              <w:bottom w:w="0" w:type="dxa"/>
              <w:right w:w="140" w:type="dxa"/>
            </w:tcMar>
            <w:vAlign w:val="center"/>
          </w:tcPr>
          <w:p w14:paraId="75B7E332">
            <w:pPr>
              <w:pStyle w:val="214"/>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应用安全</w:t>
            </w:r>
          </w:p>
        </w:tc>
        <w:tc>
          <w:tcPr>
            <w:tcW w:w="0" w:type="auto"/>
            <w:tcMar>
              <w:top w:w="0" w:type="dxa"/>
              <w:left w:w="140" w:type="dxa"/>
              <w:bottom w:w="0" w:type="dxa"/>
              <w:right w:w="140" w:type="dxa"/>
            </w:tcMar>
            <w:vAlign w:val="center"/>
          </w:tcPr>
          <w:p w14:paraId="75B7E333">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代码漏洞修复</w:t>
            </w:r>
          </w:p>
        </w:tc>
        <w:tc>
          <w:tcPr>
            <w:tcW w:w="0" w:type="auto"/>
            <w:tcMar>
              <w:top w:w="0" w:type="dxa"/>
              <w:left w:w="140" w:type="dxa"/>
              <w:bottom w:w="0" w:type="dxa"/>
              <w:right w:w="140" w:type="dxa"/>
            </w:tcMar>
            <w:vAlign w:val="center"/>
          </w:tcPr>
          <w:p w14:paraId="75B7E334">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静态分析与渗透测试</w:t>
            </w:r>
          </w:p>
        </w:tc>
      </w:tr>
      <w:tr w14:paraId="75B7E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40" w:type="dxa"/>
            <w:bottom w:w="0" w:type="dxa"/>
            <w:right w:w="140" w:type="dxa"/>
          </w:tblCellMar>
        </w:tblPrEx>
        <w:trPr>
          <w:jc w:val="center"/>
        </w:trPr>
        <w:tc>
          <w:tcPr>
            <w:tcW w:w="0" w:type="auto"/>
            <w:tcMar>
              <w:top w:w="0" w:type="dxa"/>
              <w:left w:w="140" w:type="dxa"/>
              <w:bottom w:w="0" w:type="dxa"/>
              <w:right w:w="140" w:type="dxa"/>
            </w:tcMar>
            <w:vAlign w:val="center"/>
          </w:tcPr>
          <w:p w14:paraId="75B7E336">
            <w:pPr>
              <w:pStyle w:val="214"/>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管理安全</w:t>
            </w:r>
          </w:p>
        </w:tc>
        <w:tc>
          <w:tcPr>
            <w:tcW w:w="0" w:type="auto"/>
            <w:tcMar>
              <w:top w:w="0" w:type="dxa"/>
              <w:left w:w="140" w:type="dxa"/>
              <w:bottom w:w="0" w:type="dxa"/>
              <w:right w:w="140" w:type="dxa"/>
            </w:tcMar>
            <w:vAlign w:val="center"/>
          </w:tcPr>
          <w:p w14:paraId="75B7E337">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权限分级管理</w:t>
            </w:r>
          </w:p>
        </w:tc>
        <w:tc>
          <w:tcPr>
            <w:tcW w:w="0" w:type="auto"/>
            <w:tcMar>
              <w:top w:w="0" w:type="dxa"/>
              <w:left w:w="140" w:type="dxa"/>
              <w:bottom w:w="0" w:type="dxa"/>
              <w:right w:w="140" w:type="dxa"/>
            </w:tcMar>
            <w:vAlign w:val="center"/>
          </w:tcPr>
          <w:p w14:paraId="75B7E338">
            <w:pPr>
              <w:pStyle w:val="21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身份认证与日志审计</w:t>
            </w:r>
          </w:p>
        </w:tc>
      </w:tr>
    </w:tbl>
    <w:p w14:paraId="75B7E33A">
      <w:pPr>
        <w:ind w:firstLine="480"/>
        <w:rPr>
          <w:rFonts w:hint="eastAsia"/>
        </w:rPr>
      </w:pPr>
      <w:r>
        <w:t>运维机构将建立高效的矛盾协调机制，及时化解各部门在工作推进中产生的分歧与冲突。针对岳阳市森林火灾高风险区综合治理能力提升项目运行过程中可能出现的数据共享障碍、业务流程不畅或资源分配争议等问题，运维机构将主动介入调解。</w:t>
      </w:r>
    </w:p>
    <w:p w14:paraId="75B7E33B">
      <w:pPr>
        <w:ind w:firstLine="480"/>
        <w:rPr>
          <w:rFonts w:hint="eastAsia"/>
        </w:rPr>
      </w:pPr>
      <w:r>
        <w:t>1）召开跨部门协调会，听取各方意见，寻求共识；</w:t>
      </w:r>
    </w:p>
    <w:p w14:paraId="75B7E33C">
      <w:pPr>
        <w:ind w:firstLine="480"/>
        <w:rPr>
          <w:rFonts w:hint="eastAsia"/>
        </w:rPr>
      </w:pPr>
      <w:r>
        <w:t>2）梳理矛盾根源，制定针对性解决方案并推动落实；</w:t>
      </w:r>
    </w:p>
    <w:p w14:paraId="75B7E33D">
      <w:pPr>
        <w:ind w:firstLine="480"/>
        <w:rPr>
          <w:rFonts w:hint="eastAsia"/>
        </w:rPr>
      </w:pPr>
      <w:r>
        <w:t>3）建立问题台账，跟踪处理进度直至彻底解决；</w:t>
      </w:r>
    </w:p>
    <w:p w14:paraId="75B7E33E">
      <w:pPr>
        <w:ind w:firstLine="480"/>
        <w:rPr>
          <w:rFonts w:hint="eastAsia"/>
        </w:rPr>
      </w:pPr>
      <w:r>
        <w:t>4）完善协作机制，预防类似问题再次发生。</w:t>
      </w:r>
    </w:p>
    <w:p w14:paraId="75B7E33F">
      <w:pPr>
        <w:ind w:firstLine="480"/>
        <w:rPr>
          <w:rFonts w:hint="eastAsia"/>
        </w:rPr>
      </w:pPr>
      <w:r>
        <w:t>通过积极协调，营造和谐工作环境，保障系统高效运行。</w:t>
      </w:r>
    </w:p>
    <w:p w14:paraId="75B7E340">
      <w:pPr>
        <w:ind w:firstLine="480"/>
        <w:rPr>
          <w:rFonts w:hint="eastAsia"/>
        </w:rPr>
      </w:pPr>
      <w:r>
        <w:t>运维机构将持续审视现有业务流程，发现冗余环节与低效节点，推动流程再造与优化升级。在岳阳市森林火灾高风险区综合治理能力提升项目运行中，运维机构将结合实际操作反馈，简化审批手续，压缩流转时间，提高办事效率。重点优化火情上报、预警发布、指挥调度、处置反馈等核心业务流程，消除信息壁垒，实现数据互联互通。引入自动化工具与智能化手段，减少人工干预，降低出错概率。通过持续改进，构建更加科学、便捷、高效的业务流程体系，提升整体服务水平。</w:t>
      </w:r>
    </w:p>
    <w:p w14:paraId="75B7E341">
      <w:pPr>
        <w:ind w:firstLine="480"/>
        <w:rPr>
          <w:rFonts w:hint="eastAsia"/>
        </w:rPr>
      </w:pPr>
      <w:r>
        <w:t>运维机构将根据业务发展需求与技术演进趋势，定期组织开展应用软件升级工作，确保系统功能保持领先。在岳阳市森林火灾高风险区综合治理能力提升项目中，运维机构将密切关注用户需求变化，收集功能改进建议，制定合理的版本迭代计划。升级内容涵盖界面优化、功能增强、性能提升及兼容性改进等方面。每次升级前将进行充分测试验证，确保新版本稳定可靠且不影响现有业务运行。通过持续升级，不断满足用户日益增长的应用需求，提升系统用户体验与业务支撑能力。</w:t>
      </w:r>
    </w:p>
    <w:p w14:paraId="75B7E342">
      <w:pPr>
        <w:ind w:firstLine="480" w:firstLineChars="200"/>
        <w:rPr>
          <w:rFonts w:hint="eastAsia"/>
        </w:rPr>
      </w:pPr>
      <w:r>
        <w:t>运维机构将预留充足的技术接口与扩展空间，为未来业务拓展与功能深化奠定基础。针对岳阳市森林火灾高风险区综合治理能力提升项目，运维机构将根据政策导向与实际需要，适时启动后续开发工作。开发方向可能包括新增监测点位接入、AI算法模型优化、大数据分析应用深化等。在开发过程中，运维机构将坚持标准化、模块化原则，确保新模块与现有系统无缝融合。做好知识转移与文档沉淀，为后续自主运维创造条件。通过前瞻性规划与持续创新，推动项目可持续发展，助力森林防火事业长远发展。</w:t>
      </w:r>
    </w:p>
    <w:p w14:paraId="75B7E343">
      <w:pPr>
        <w:pStyle w:val="4"/>
        <w:rPr>
          <w:rFonts w:hint="eastAsia"/>
          <w:lang w:val="en-US"/>
        </w:rPr>
      </w:pPr>
      <w:bookmarkStart w:id="193" w:name="_Toc26404"/>
      <w:r>
        <w:rPr>
          <w:rFonts w:hint="eastAsia"/>
          <w:lang w:val="en-US"/>
        </w:rPr>
        <w:t>运维服务理念</w:t>
      </w:r>
      <w:bookmarkEnd w:id="193"/>
    </w:p>
    <w:p w14:paraId="75B7E344">
      <w:pPr>
        <w:ind w:firstLine="480"/>
        <w:rPr>
          <w:rFonts w:hint="eastAsia"/>
        </w:rPr>
      </w:pPr>
      <w:r>
        <w:rPr>
          <w:rFonts w:hint="eastAsia"/>
        </w:rPr>
        <w:t>为确保项目可持续，我们将实施路径明确划分为“建设期”与“运维优化期”，并设定关键里程碑。</w:t>
      </w:r>
    </w:p>
    <w:tbl>
      <w:tblPr>
        <w:tblStyle w:val="38"/>
        <w:tblpPr w:leftFromText="180" w:rightFromText="180" w:vertAnchor="text" w:tblpXSpec="center" w:tblpY="1"/>
        <w:tblOverlap w:val="never"/>
        <w:tblW w:w="4998" w:type="pct"/>
        <w:tblInd w:w="0" w:type="dxa"/>
        <w:tblLayout w:type="autofit"/>
        <w:tblCellMar>
          <w:top w:w="0" w:type="dxa"/>
          <w:left w:w="108" w:type="dxa"/>
          <w:bottom w:w="0" w:type="dxa"/>
          <w:right w:w="108" w:type="dxa"/>
        </w:tblCellMar>
      </w:tblPr>
      <w:tblGrid>
        <w:gridCol w:w="1434"/>
        <w:gridCol w:w="1064"/>
        <w:gridCol w:w="1769"/>
        <w:gridCol w:w="4042"/>
      </w:tblGrid>
      <w:tr w14:paraId="75B7E349">
        <w:tblPrEx>
          <w:tblCellMar>
            <w:top w:w="0" w:type="dxa"/>
            <w:left w:w="108" w:type="dxa"/>
            <w:bottom w:w="0" w:type="dxa"/>
            <w:right w:w="108" w:type="dxa"/>
          </w:tblCellMar>
        </w:tblPrEx>
        <w:trPr>
          <w:tblHeader/>
        </w:trPr>
        <w:tc>
          <w:tcPr>
            <w:tcW w:w="863" w:type="pct"/>
            <w:tcBorders>
              <w:top w:val="single" w:color="000000" w:sz="4" w:space="0"/>
              <w:left w:val="single" w:color="000000" w:sz="4" w:space="0"/>
              <w:bottom w:val="single" w:color="000000" w:sz="4" w:space="0"/>
              <w:right w:val="single" w:color="000000" w:sz="4" w:space="0"/>
            </w:tcBorders>
            <w:vAlign w:val="center"/>
          </w:tcPr>
          <w:p w14:paraId="75B7E345">
            <w:pPr>
              <w:keepNext/>
              <w:widowControl/>
              <w:snapToGrid w:val="0"/>
              <w:spacing w:line="240" w:lineRule="auto"/>
              <w:ind w:firstLine="0" w:firstLineChars="0"/>
              <w:jc w:val="center"/>
              <w:textAlignment w:val="center"/>
              <w:rPr>
                <w:rFonts w:hint="eastAsia" w:ascii="仿宋_GB2312" w:hAnsi="方正小标宋_GBK" w:cs="方正小标宋_GBK"/>
                <w:b/>
                <w:bCs/>
                <w:szCs w:val="24"/>
              </w:rPr>
            </w:pPr>
            <w:r>
              <w:rPr>
                <w:rFonts w:hint="eastAsia" w:ascii="仿宋_GB2312" w:hAnsi="方正小标宋_GBK" w:cs="方正小标宋_GBK"/>
                <w:b/>
                <w:bCs/>
                <w:szCs w:val="24"/>
                <w:lang w:val="en-US" w:bidi="ar"/>
              </w:rPr>
              <w:t>阶段</w:t>
            </w:r>
          </w:p>
        </w:tc>
        <w:tc>
          <w:tcPr>
            <w:tcW w:w="640" w:type="pct"/>
            <w:tcBorders>
              <w:top w:val="single" w:color="000000" w:sz="4" w:space="0"/>
              <w:left w:val="single" w:color="000000" w:sz="4" w:space="0"/>
              <w:bottom w:val="single" w:color="000000" w:sz="4" w:space="0"/>
              <w:right w:val="single" w:color="000000" w:sz="4" w:space="0"/>
            </w:tcBorders>
            <w:vAlign w:val="center"/>
          </w:tcPr>
          <w:p w14:paraId="75B7E346">
            <w:pPr>
              <w:keepNext/>
              <w:widowControl/>
              <w:snapToGrid w:val="0"/>
              <w:spacing w:line="240" w:lineRule="auto"/>
              <w:ind w:firstLine="0" w:firstLineChars="0"/>
              <w:jc w:val="center"/>
              <w:textAlignment w:val="center"/>
              <w:rPr>
                <w:rFonts w:hint="eastAsia" w:ascii="仿宋_GB2312" w:hAnsi="方正小标宋_GBK" w:cs="方正小标宋_GBK"/>
                <w:b/>
                <w:bCs/>
                <w:szCs w:val="24"/>
              </w:rPr>
            </w:pPr>
            <w:r>
              <w:rPr>
                <w:rFonts w:hint="eastAsia" w:ascii="仿宋_GB2312" w:hAnsi="方正小标宋_GBK" w:cs="方正小标宋_GBK"/>
                <w:b/>
                <w:bCs/>
                <w:szCs w:val="24"/>
                <w:lang w:val="en-US" w:bidi="ar"/>
              </w:rPr>
              <w:t>周期</w:t>
            </w:r>
          </w:p>
        </w:tc>
        <w:tc>
          <w:tcPr>
            <w:tcW w:w="1064" w:type="pct"/>
            <w:tcBorders>
              <w:top w:val="single" w:color="000000" w:sz="4" w:space="0"/>
              <w:left w:val="single" w:color="000000" w:sz="4" w:space="0"/>
              <w:bottom w:val="single" w:color="000000" w:sz="4" w:space="0"/>
              <w:right w:val="single" w:color="000000" w:sz="4" w:space="0"/>
            </w:tcBorders>
            <w:vAlign w:val="center"/>
          </w:tcPr>
          <w:p w14:paraId="75B7E347">
            <w:pPr>
              <w:keepNext/>
              <w:widowControl/>
              <w:snapToGrid w:val="0"/>
              <w:spacing w:line="240" w:lineRule="auto"/>
              <w:ind w:firstLine="0" w:firstLineChars="0"/>
              <w:jc w:val="center"/>
              <w:textAlignment w:val="center"/>
              <w:rPr>
                <w:rFonts w:hint="eastAsia" w:ascii="仿宋_GB2312" w:hAnsi="方正小标宋_GBK" w:cs="方正小标宋_GBK"/>
                <w:b/>
                <w:bCs/>
                <w:szCs w:val="24"/>
              </w:rPr>
            </w:pPr>
            <w:r>
              <w:rPr>
                <w:rFonts w:hint="eastAsia" w:ascii="仿宋_GB2312" w:hAnsi="方正小标宋_GBK" w:cs="方正小标宋_GBK"/>
                <w:b/>
                <w:bCs/>
                <w:szCs w:val="24"/>
                <w:lang w:val="en-US" w:bidi="ar"/>
              </w:rPr>
              <w:t>核心目标</w:t>
            </w:r>
          </w:p>
        </w:tc>
        <w:tc>
          <w:tcPr>
            <w:tcW w:w="2432" w:type="pct"/>
            <w:tcBorders>
              <w:top w:val="single" w:color="000000" w:sz="4" w:space="0"/>
              <w:left w:val="single" w:color="000000" w:sz="4" w:space="0"/>
              <w:bottom w:val="single" w:color="000000" w:sz="4" w:space="0"/>
              <w:right w:val="single" w:color="000000" w:sz="4" w:space="0"/>
            </w:tcBorders>
            <w:vAlign w:val="center"/>
          </w:tcPr>
          <w:p w14:paraId="75B7E348">
            <w:pPr>
              <w:keepNext/>
              <w:widowControl/>
              <w:snapToGrid w:val="0"/>
              <w:spacing w:line="240" w:lineRule="auto"/>
              <w:ind w:firstLine="0" w:firstLineChars="0"/>
              <w:jc w:val="center"/>
              <w:textAlignment w:val="center"/>
              <w:rPr>
                <w:rFonts w:hint="eastAsia" w:ascii="仿宋_GB2312" w:hAnsi="方正小标宋_GBK" w:cs="方正小标宋_GBK"/>
                <w:b/>
                <w:bCs/>
                <w:szCs w:val="24"/>
              </w:rPr>
            </w:pPr>
            <w:r>
              <w:rPr>
                <w:rFonts w:hint="eastAsia" w:ascii="仿宋_GB2312" w:hAnsi="方正小标宋_GBK" w:cs="方正小标宋_GBK"/>
                <w:b/>
                <w:bCs/>
                <w:szCs w:val="24"/>
                <w:lang w:val="en-US" w:bidi="ar"/>
              </w:rPr>
              <w:t>关键任务</w:t>
            </w:r>
          </w:p>
        </w:tc>
      </w:tr>
      <w:tr w14:paraId="75B7E34E">
        <w:tblPrEx>
          <w:tblCellMar>
            <w:top w:w="0" w:type="dxa"/>
            <w:left w:w="108" w:type="dxa"/>
            <w:bottom w:w="0" w:type="dxa"/>
            <w:right w:w="108" w:type="dxa"/>
          </w:tblCellMar>
        </w:tblPrEx>
        <w:tc>
          <w:tcPr>
            <w:tcW w:w="863" w:type="pct"/>
            <w:tcBorders>
              <w:top w:val="single" w:color="000000" w:sz="4" w:space="0"/>
              <w:left w:val="single" w:color="000000" w:sz="4" w:space="0"/>
              <w:bottom w:val="single" w:color="000000" w:sz="4" w:space="0"/>
              <w:right w:val="single" w:color="000000" w:sz="4" w:space="0"/>
            </w:tcBorders>
            <w:vAlign w:val="center"/>
          </w:tcPr>
          <w:p w14:paraId="75B7E34A">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第一期：基础建设与系统集成</w:t>
            </w:r>
          </w:p>
        </w:tc>
        <w:tc>
          <w:tcPr>
            <w:tcW w:w="640" w:type="pct"/>
            <w:tcBorders>
              <w:top w:val="single" w:color="000000" w:sz="4" w:space="0"/>
              <w:left w:val="single" w:color="000000" w:sz="4" w:space="0"/>
              <w:bottom w:val="single" w:color="000000" w:sz="4" w:space="0"/>
              <w:right w:val="single" w:color="000000" w:sz="4" w:space="0"/>
            </w:tcBorders>
            <w:vAlign w:val="center"/>
          </w:tcPr>
          <w:p w14:paraId="75B7E34B">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第1年</w:t>
            </w:r>
          </w:p>
        </w:tc>
        <w:tc>
          <w:tcPr>
            <w:tcW w:w="1064" w:type="pct"/>
            <w:tcBorders>
              <w:top w:val="single" w:color="000000" w:sz="4" w:space="0"/>
              <w:left w:val="single" w:color="000000" w:sz="4" w:space="0"/>
              <w:bottom w:val="single" w:color="000000" w:sz="4" w:space="0"/>
              <w:right w:val="single" w:color="000000" w:sz="4" w:space="0"/>
            </w:tcBorders>
            <w:vAlign w:val="center"/>
          </w:tcPr>
          <w:p w14:paraId="75B7E34C">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完成火情监测网络主干架设，实现核心林区覆盖与试点验证</w:t>
            </w:r>
          </w:p>
        </w:tc>
        <w:tc>
          <w:tcPr>
            <w:tcW w:w="2432" w:type="pct"/>
            <w:tcBorders>
              <w:top w:val="single" w:color="000000" w:sz="4" w:space="0"/>
              <w:left w:val="single" w:color="000000" w:sz="4" w:space="0"/>
              <w:bottom w:val="single" w:color="000000" w:sz="4" w:space="0"/>
              <w:right w:val="single" w:color="000000" w:sz="4" w:space="0"/>
            </w:tcBorders>
            <w:vAlign w:val="center"/>
          </w:tcPr>
          <w:p w14:paraId="75B7E34D">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1. 立体监测网部署：完成高点智能摄像机（带热成像）、无人机巢、地面宣传杆/卡口在林火高风险区的优化布设与接入。</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2. 防火专网建设/增强：确保重点区域通信覆盖，保障视频与数据回传。</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3. 平台V1.0上线：部署森林防火智能预警模块，集成火点识别、烟雾识别等核心算法。</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4. 首次防火演练：在防火期前完成系统初验与模拟火情处置演练。</w:t>
            </w:r>
          </w:p>
        </w:tc>
      </w:tr>
      <w:tr w14:paraId="75B7E353">
        <w:tblPrEx>
          <w:tblCellMar>
            <w:top w:w="0" w:type="dxa"/>
            <w:left w:w="108" w:type="dxa"/>
            <w:bottom w:w="0" w:type="dxa"/>
            <w:right w:w="108" w:type="dxa"/>
          </w:tblCellMar>
        </w:tblPrEx>
        <w:tc>
          <w:tcPr>
            <w:tcW w:w="863" w:type="pct"/>
            <w:tcBorders>
              <w:top w:val="single" w:color="000000" w:sz="4" w:space="0"/>
              <w:left w:val="single" w:color="000000" w:sz="4" w:space="0"/>
              <w:bottom w:val="single" w:color="000000" w:sz="4" w:space="0"/>
              <w:right w:val="single" w:color="000000" w:sz="4" w:space="0"/>
            </w:tcBorders>
            <w:vAlign w:val="center"/>
          </w:tcPr>
          <w:p w14:paraId="75B7E34F">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第二期：全面覆盖与能力深化</w:t>
            </w:r>
          </w:p>
        </w:tc>
        <w:tc>
          <w:tcPr>
            <w:tcW w:w="640" w:type="pct"/>
            <w:tcBorders>
              <w:top w:val="single" w:color="000000" w:sz="4" w:space="0"/>
              <w:left w:val="single" w:color="000000" w:sz="4" w:space="0"/>
              <w:bottom w:val="single" w:color="000000" w:sz="4" w:space="0"/>
              <w:right w:val="single" w:color="000000" w:sz="4" w:space="0"/>
            </w:tcBorders>
            <w:vAlign w:val="center"/>
          </w:tcPr>
          <w:p w14:paraId="75B7E350">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第2年</w:t>
            </w:r>
          </w:p>
        </w:tc>
        <w:tc>
          <w:tcPr>
            <w:tcW w:w="1064" w:type="pct"/>
            <w:tcBorders>
              <w:top w:val="single" w:color="000000" w:sz="4" w:space="0"/>
              <w:left w:val="single" w:color="000000" w:sz="4" w:space="0"/>
              <w:bottom w:val="single" w:color="000000" w:sz="4" w:space="0"/>
              <w:right w:val="single" w:color="000000" w:sz="4" w:space="0"/>
            </w:tcBorders>
            <w:vAlign w:val="center"/>
          </w:tcPr>
          <w:p w14:paraId="75B7E351">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监测网络全域覆盖，平台功能深度耦合业务流，通过终验。</w:t>
            </w:r>
          </w:p>
        </w:tc>
        <w:tc>
          <w:tcPr>
            <w:tcW w:w="2432" w:type="pct"/>
            <w:tcBorders>
              <w:top w:val="single" w:color="000000" w:sz="4" w:space="0"/>
              <w:left w:val="single" w:color="000000" w:sz="4" w:space="0"/>
              <w:bottom w:val="single" w:color="000000" w:sz="4" w:space="0"/>
              <w:right w:val="single" w:color="000000" w:sz="4" w:space="0"/>
            </w:tcBorders>
            <w:vAlign w:val="center"/>
          </w:tcPr>
          <w:p w14:paraId="75B7E352">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1. 覆盖延伸：实现规划林区监测覆盖率达95%以上，消除盲区。</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2. 业务融合：平台与各级防火指挥系统、护林员巡护系统实现数据互通与业务协同。</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3. 算法优化：基于首个防火季真实数据，优化算法模型，降低误报率。</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4. 通过终验：完成所有功能与性能测试，系统正式交付进入运维期。</w:t>
            </w:r>
          </w:p>
        </w:tc>
      </w:tr>
      <w:tr w14:paraId="75B7E358">
        <w:tblPrEx>
          <w:tblCellMar>
            <w:top w:w="0" w:type="dxa"/>
            <w:left w:w="108" w:type="dxa"/>
            <w:bottom w:w="0" w:type="dxa"/>
            <w:right w:w="108" w:type="dxa"/>
          </w:tblCellMar>
        </w:tblPrEx>
        <w:tc>
          <w:tcPr>
            <w:tcW w:w="863" w:type="pct"/>
            <w:tcBorders>
              <w:top w:val="single" w:color="000000" w:sz="4" w:space="0"/>
              <w:left w:val="single" w:color="000000" w:sz="4" w:space="0"/>
              <w:bottom w:val="single" w:color="000000" w:sz="4" w:space="0"/>
              <w:right w:val="single" w:color="000000" w:sz="4" w:space="0"/>
            </w:tcBorders>
            <w:vAlign w:val="center"/>
          </w:tcPr>
          <w:p w14:paraId="75B7E354">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第三期：常态化运维与效能提升</w:t>
            </w:r>
          </w:p>
        </w:tc>
        <w:tc>
          <w:tcPr>
            <w:tcW w:w="640" w:type="pct"/>
            <w:tcBorders>
              <w:top w:val="single" w:color="000000" w:sz="4" w:space="0"/>
              <w:left w:val="single" w:color="000000" w:sz="4" w:space="0"/>
              <w:bottom w:val="single" w:color="000000" w:sz="4" w:space="0"/>
              <w:right w:val="single" w:color="000000" w:sz="4" w:space="0"/>
            </w:tcBorders>
            <w:vAlign w:val="center"/>
          </w:tcPr>
          <w:p w14:paraId="75B7E355">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第3年</w:t>
            </w:r>
          </w:p>
        </w:tc>
        <w:tc>
          <w:tcPr>
            <w:tcW w:w="1064" w:type="pct"/>
            <w:tcBorders>
              <w:top w:val="single" w:color="000000" w:sz="4" w:space="0"/>
              <w:left w:val="single" w:color="000000" w:sz="4" w:space="0"/>
              <w:bottom w:val="single" w:color="000000" w:sz="4" w:space="0"/>
              <w:right w:val="single" w:color="000000" w:sz="4" w:space="0"/>
            </w:tcBorders>
            <w:vAlign w:val="center"/>
          </w:tcPr>
          <w:p w14:paraId="75B7E356">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系统稳定可靠运行，预警准确率显著提升，形成标准化运维流程。</w:t>
            </w:r>
          </w:p>
        </w:tc>
        <w:tc>
          <w:tcPr>
            <w:tcW w:w="2432" w:type="pct"/>
            <w:tcBorders>
              <w:top w:val="single" w:color="000000" w:sz="4" w:space="0"/>
              <w:left w:val="single" w:color="000000" w:sz="4" w:space="0"/>
              <w:bottom w:val="single" w:color="000000" w:sz="4" w:space="0"/>
              <w:right w:val="single" w:color="000000" w:sz="4" w:space="0"/>
            </w:tcBorders>
            <w:vAlign w:val="center"/>
          </w:tcPr>
          <w:p w14:paraId="75B7E357">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1. 全周期运维保障：经历完整防火季考验，系统可用性≥99.5%。</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2. 预警效能验证：火情发现时间同比缩短XX%，早期发现率提升XX%。</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3. 首次大修与更新：对经历恶劣环境的第一批设备进行预防性更换与升级。</w:t>
            </w:r>
          </w:p>
        </w:tc>
      </w:tr>
      <w:tr w14:paraId="75B7E35D">
        <w:tblPrEx>
          <w:tblCellMar>
            <w:top w:w="0" w:type="dxa"/>
            <w:left w:w="108" w:type="dxa"/>
            <w:bottom w:w="0" w:type="dxa"/>
            <w:right w:w="108" w:type="dxa"/>
          </w:tblCellMar>
        </w:tblPrEx>
        <w:tc>
          <w:tcPr>
            <w:tcW w:w="863" w:type="pct"/>
            <w:tcBorders>
              <w:top w:val="single" w:color="000000" w:sz="4" w:space="0"/>
              <w:left w:val="single" w:color="000000" w:sz="4" w:space="0"/>
              <w:bottom w:val="single" w:color="000000" w:sz="4" w:space="0"/>
              <w:right w:val="single" w:color="000000" w:sz="4" w:space="0"/>
            </w:tcBorders>
            <w:vAlign w:val="center"/>
          </w:tcPr>
          <w:p w14:paraId="75B7E359">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第四期：数据赋能与智能升级</w:t>
            </w:r>
          </w:p>
        </w:tc>
        <w:tc>
          <w:tcPr>
            <w:tcW w:w="640" w:type="pct"/>
            <w:tcBorders>
              <w:top w:val="single" w:color="000000" w:sz="4" w:space="0"/>
              <w:left w:val="single" w:color="000000" w:sz="4" w:space="0"/>
              <w:bottom w:val="single" w:color="000000" w:sz="4" w:space="0"/>
              <w:right w:val="single" w:color="000000" w:sz="4" w:space="0"/>
            </w:tcBorders>
            <w:vAlign w:val="center"/>
          </w:tcPr>
          <w:p w14:paraId="75B7E35A">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第4年</w:t>
            </w:r>
          </w:p>
        </w:tc>
        <w:tc>
          <w:tcPr>
            <w:tcW w:w="1064" w:type="pct"/>
            <w:tcBorders>
              <w:top w:val="single" w:color="000000" w:sz="4" w:space="0"/>
              <w:left w:val="single" w:color="000000" w:sz="4" w:space="0"/>
              <w:bottom w:val="single" w:color="000000" w:sz="4" w:space="0"/>
              <w:right w:val="single" w:color="000000" w:sz="4" w:space="0"/>
            </w:tcBorders>
            <w:vAlign w:val="center"/>
          </w:tcPr>
          <w:p w14:paraId="75B7E35B">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从“监测预警”向“风险评估与决策支持”深化，挖掘数据价值。</w:t>
            </w:r>
          </w:p>
        </w:tc>
        <w:tc>
          <w:tcPr>
            <w:tcW w:w="2432" w:type="pct"/>
            <w:tcBorders>
              <w:top w:val="single" w:color="000000" w:sz="4" w:space="0"/>
              <w:left w:val="single" w:color="000000" w:sz="4" w:space="0"/>
              <w:bottom w:val="single" w:color="000000" w:sz="4" w:space="0"/>
              <w:right w:val="single" w:color="000000" w:sz="4" w:space="0"/>
            </w:tcBorders>
            <w:vAlign w:val="center"/>
          </w:tcPr>
          <w:p w14:paraId="75B7E35C">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1. 火险等级预报：融合气象、物候、历史火情等数据，构建林火风险动态评估模型。</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2. 应急推演与优化：基于历史案例，优化应急资源调度与扑救路径规划算法。</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3. 设备智能化升级：试点引入新一代透烟识别、生态监测等智能传感设备。</w:t>
            </w:r>
          </w:p>
        </w:tc>
      </w:tr>
      <w:tr w14:paraId="75B7E362">
        <w:tblPrEx>
          <w:tblCellMar>
            <w:top w:w="0" w:type="dxa"/>
            <w:left w:w="108" w:type="dxa"/>
            <w:bottom w:w="0" w:type="dxa"/>
            <w:right w:w="108" w:type="dxa"/>
          </w:tblCellMar>
        </w:tblPrEx>
        <w:tc>
          <w:tcPr>
            <w:tcW w:w="863" w:type="pct"/>
            <w:tcBorders>
              <w:top w:val="single" w:color="000000" w:sz="4" w:space="0"/>
              <w:left w:val="single" w:color="000000" w:sz="4" w:space="0"/>
              <w:bottom w:val="single" w:color="000000" w:sz="4" w:space="0"/>
              <w:right w:val="single" w:color="000000" w:sz="4" w:space="0"/>
            </w:tcBorders>
            <w:vAlign w:val="center"/>
          </w:tcPr>
          <w:p w14:paraId="75B7E35E">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第五期：体系固化与能力移交</w:t>
            </w:r>
          </w:p>
        </w:tc>
        <w:tc>
          <w:tcPr>
            <w:tcW w:w="640" w:type="pct"/>
            <w:tcBorders>
              <w:top w:val="single" w:color="000000" w:sz="4" w:space="0"/>
              <w:left w:val="single" w:color="000000" w:sz="4" w:space="0"/>
              <w:bottom w:val="single" w:color="000000" w:sz="4" w:space="0"/>
              <w:right w:val="single" w:color="000000" w:sz="4" w:space="0"/>
            </w:tcBorders>
            <w:vAlign w:val="center"/>
          </w:tcPr>
          <w:p w14:paraId="75B7E35F">
            <w:pPr>
              <w:keepNext/>
              <w:widowControl/>
              <w:snapToGrid w:val="0"/>
              <w:spacing w:line="240" w:lineRule="auto"/>
              <w:ind w:firstLine="0" w:firstLineChars="0"/>
              <w:jc w:val="center"/>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第5年</w:t>
            </w:r>
          </w:p>
        </w:tc>
        <w:tc>
          <w:tcPr>
            <w:tcW w:w="1064" w:type="pct"/>
            <w:tcBorders>
              <w:top w:val="single" w:color="000000" w:sz="4" w:space="0"/>
              <w:left w:val="single" w:color="000000" w:sz="4" w:space="0"/>
              <w:bottom w:val="single" w:color="000000" w:sz="4" w:space="0"/>
              <w:right w:val="single" w:color="000000" w:sz="4" w:space="0"/>
            </w:tcBorders>
            <w:vAlign w:val="center"/>
          </w:tcPr>
          <w:p w14:paraId="75B7E360">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形成稳定高效的长效机制，确保系统持续演进，实现知识完全转移。</w:t>
            </w:r>
          </w:p>
        </w:tc>
        <w:tc>
          <w:tcPr>
            <w:tcW w:w="2432" w:type="pct"/>
            <w:tcBorders>
              <w:top w:val="single" w:color="000000" w:sz="4" w:space="0"/>
              <w:left w:val="single" w:color="000000" w:sz="4" w:space="0"/>
              <w:bottom w:val="single" w:color="000000" w:sz="4" w:space="0"/>
              <w:right w:val="single" w:color="000000" w:sz="4" w:space="0"/>
            </w:tcBorders>
            <w:vAlign w:val="center"/>
          </w:tcPr>
          <w:p w14:paraId="75B7E361">
            <w:pPr>
              <w:keepNext/>
              <w:widowControl/>
              <w:snapToGrid w:val="0"/>
              <w:spacing w:line="240" w:lineRule="auto"/>
              <w:ind w:firstLine="0" w:firstLineChars="0"/>
              <w:textAlignment w:val="center"/>
              <w:rPr>
                <w:rFonts w:hint="eastAsia" w:ascii="仿宋_GB2312" w:hAnsi="方正仿宋_GB2312" w:cs="方正仿宋_GB2312"/>
                <w:sz w:val="20"/>
                <w:szCs w:val="20"/>
              </w:rPr>
            </w:pPr>
            <w:r>
              <w:rPr>
                <w:rFonts w:hint="eastAsia" w:ascii="仿宋_GB2312" w:hAnsi="方正仿宋_GB2312" w:cs="方正仿宋_GB2312"/>
                <w:sz w:val="20"/>
                <w:szCs w:val="20"/>
                <w:lang w:val="en-US" w:bidi="ar"/>
              </w:rPr>
              <w:t>1. 系统全面评估与升级：完成核心平台版本升级，确保技术前瞻性。</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2. 应急预案数字化固化：将最佳实践固化为平台内的标准应急流程。</w:t>
            </w:r>
            <w:r>
              <w:rPr>
                <w:rFonts w:hint="eastAsia" w:ascii="仿宋_GB2312" w:hAnsi="方正仿宋_GB2312" w:cs="方正仿宋_GB2312"/>
                <w:sz w:val="20"/>
                <w:szCs w:val="20"/>
                <w:lang w:val="en-US" w:bidi="ar"/>
              </w:rPr>
              <w:br w:type="textWrapping"/>
            </w:r>
            <w:r>
              <w:rPr>
                <w:rFonts w:hint="eastAsia" w:ascii="仿宋_GB2312" w:hAnsi="方正仿宋_GB2312" w:cs="方正仿宋_GB2312"/>
                <w:sz w:val="20"/>
                <w:szCs w:val="20"/>
                <w:lang w:val="en-US" w:bidi="ar"/>
              </w:rPr>
              <w:t>3. 全面知识转移：完成对甲方管理、技术、操作人员的分层、分岗深度培训与认证。</w:t>
            </w:r>
          </w:p>
        </w:tc>
      </w:tr>
    </w:tbl>
    <w:p w14:paraId="75B7E363">
      <w:pPr>
        <w:ind w:firstLine="480"/>
        <w:rPr>
          <w:rFonts w:hint="eastAsia"/>
        </w:rPr>
      </w:pPr>
      <w:r>
        <w:rPr>
          <w:rFonts w:hint="eastAsia"/>
        </w:rPr>
        <w:t xml:space="preserve">站在客户的立场上考虑问题、解决问题，把客户的需求和满意度放到一切考虑因素之首，同时必须做到兼顾企业利益，使客户利益与企业利益相得益彰。必须做到：服务热情周到，信息交流畅通，反应快速准确，质量保证完善。 </w:t>
      </w:r>
    </w:p>
    <w:p w14:paraId="75B7E364">
      <w:pPr>
        <w:pStyle w:val="4"/>
        <w:rPr>
          <w:rFonts w:hint="eastAsia"/>
          <w:lang w:val="en-US"/>
        </w:rPr>
      </w:pPr>
      <w:bookmarkStart w:id="194" w:name="_Toc17525"/>
      <w:r>
        <w:rPr>
          <w:rFonts w:hint="eastAsia"/>
          <w:lang w:val="en-US"/>
        </w:rPr>
        <w:t>运维内容</w:t>
      </w:r>
      <w:bookmarkEnd w:id="194"/>
    </w:p>
    <w:p w14:paraId="75B7E365">
      <w:pPr>
        <w:ind w:firstLine="480"/>
        <w:rPr>
          <w:rFonts w:hint="eastAsia"/>
        </w:rPr>
      </w:pPr>
      <w:r>
        <w:rPr>
          <w:rFonts w:hint="eastAsia"/>
        </w:rPr>
        <w:t>面向基础设施：提供全面的资源管理，实现对本期项目建设的配套基础设施、供电系统、通信线路、物联感知设备、显示设备、网络设备、服务器、存储设备、数据库、中间件、安全设备、业务应用系统、虚拟化资源、网络服务等 IT 资源的全面监控和管理，事前预警，事中留痕，事后审计，确保网络不断、系统不瘫、数据不丢。</w:t>
      </w:r>
    </w:p>
    <w:p w14:paraId="75B7E366">
      <w:pPr>
        <w:ind w:firstLine="480"/>
        <w:rPr>
          <w:rFonts w:hint="eastAsia"/>
        </w:rPr>
      </w:pPr>
      <w:r>
        <w:rPr>
          <w:rFonts w:hint="eastAsia"/>
        </w:rPr>
        <w:t>面向维护管理人员：将人、技术与运维工具进行有效地融合，实现日常运维工作的信息化、标准化、规范化和自动化，实时展现当前企业信息化系统的运行状态及趋势，帮助管理人员快速定位问题，修复故障，保障业务系统的稳定性，实现运维知识的积累、沉淀和共享、降低 IT 运维管理对人员的依赖。对支撑软件、工具软件（如杀毒软件）和应用软件维护和管理。支撑软件和工具软件主要包括代码、引擎的及时更新，服务器和客户端的软件更新；应用软件维护主要是软件版本管理和软件故障排除与记录。</w:t>
      </w:r>
    </w:p>
    <w:p w14:paraId="75B7E367">
      <w:pPr>
        <w:ind w:firstLine="480"/>
        <w:rPr>
          <w:rFonts w:hint="eastAsia"/>
        </w:rPr>
      </w:pPr>
      <w:r>
        <w:rPr>
          <w:rFonts w:hint="eastAsia"/>
        </w:rPr>
        <w:t>面向决策者：及时汇总系统运行状态信息，帮助领导全面了解 IT 系统状况和趋势，为其提供科学依据。同时可借助自动生成的多种工作记录，实现对运维人员的效率提升，提高团队技术水平，建立以客户为中心的运维模式，提供低成本、高质量的 IT 服务，提高客户满意度。对系统产生的数据信息管理及维护。重点在于对各类数据的运行、存储、备份和恢复，规避风险。</w:t>
      </w:r>
    </w:p>
    <w:p w14:paraId="75B7E368">
      <w:pPr>
        <w:pStyle w:val="5"/>
      </w:pPr>
      <w:r>
        <w:rPr>
          <w:rFonts w:hint="eastAsia"/>
        </w:rPr>
        <w:t>业务连续性保障</w:t>
      </w:r>
    </w:p>
    <w:p w14:paraId="75B7E369">
      <w:pPr>
        <w:pStyle w:val="5"/>
      </w:pPr>
      <w:r>
        <w:rPr>
          <w:rFonts w:hint="eastAsia"/>
        </w:rPr>
        <w:t>动态资源调度（DRS）</w:t>
      </w:r>
    </w:p>
    <w:p w14:paraId="75B7E36A">
      <w:pPr>
        <w:ind w:firstLine="480"/>
        <w:rPr>
          <w:rFonts w:hint="eastAsia"/>
        </w:rPr>
      </w:pPr>
      <w:r>
        <w:rPr>
          <w:rFonts w:hint="eastAsia"/>
        </w:rPr>
        <w:t>实时资源监控：通过虚拟化管理工具，实时监测各业务虚拟机 CPU 使用率、内存占用、磁盘 I/O（如视频存储读写），设置阈值告警（CPU 利用率≥80%、内存利用率≥85% 时触发预警）；</w:t>
      </w:r>
    </w:p>
    <w:p w14:paraId="75B7E36B">
      <w:pPr>
        <w:pStyle w:val="5"/>
      </w:pPr>
      <w:r>
        <w:rPr>
          <w:rFonts w:hint="eastAsia"/>
        </w:rPr>
        <w:t>虚拟化软件维护</w:t>
      </w:r>
    </w:p>
    <w:p w14:paraId="75B7E36C">
      <w:pPr>
        <w:pStyle w:val="6"/>
        <w:ind w:firstLine="480" w:firstLineChars="200"/>
        <w:rPr>
          <w:rFonts w:hint="eastAsia"/>
        </w:rPr>
      </w:pPr>
      <w:r>
        <w:rPr>
          <w:rFonts w:hint="eastAsia"/>
        </w:rPr>
        <w:t>版本管理与升级</w:t>
      </w:r>
    </w:p>
    <w:p w14:paraId="75B7E36D">
      <w:pPr>
        <w:ind w:firstLine="480"/>
        <w:rPr>
          <w:rFonts w:hint="eastAsia"/>
        </w:rPr>
      </w:pPr>
      <w:r>
        <w:rPr>
          <w:rFonts w:hint="eastAsia"/>
        </w:rPr>
        <w:t>版本跟踪：实时跟踪虚拟化软件版本更新与安全补丁，优先采用通过国家信创认证的版本；</w:t>
      </w:r>
    </w:p>
    <w:p w14:paraId="75B7E36E">
      <w:pPr>
        <w:ind w:firstLine="480"/>
        <w:rPr>
          <w:rFonts w:hint="eastAsia"/>
        </w:rPr>
      </w:pPr>
      <w:r>
        <w:rPr>
          <w:rFonts w:hint="eastAsia"/>
        </w:rPr>
        <w:t>升级测试：升级前在测试环境中验证兼容性，重点测试平台、AI 算法模块在新版本中的运行稳定性，测试周期≥7 天；</w:t>
      </w:r>
    </w:p>
    <w:p w14:paraId="75B7E36F">
      <w:pPr>
        <w:pStyle w:val="6"/>
        <w:ind w:firstLine="480" w:firstLineChars="200"/>
        <w:rPr>
          <w:rFonts w:hint="eastAsia"/>
        </w:rPr>
      </w:pPr>
      <w:r>
        <w:rPr>
          <w:rFonts w:hint="eastAsia"/>
        </w:rPr>
        <w:t>配置管理</w:t>
      </w:r>
    </w:p>
    <w:p w14:paraId="75B7E370">
      <w:pPr>
        <w:ind w:firstLine="480"/>
        <w:rPr>
          <w:rFonts w:hint="eastAsia"/>
        </w:rPr>
      </w:pPr>
      <w:r>
        <w:rPr>
          <w:rFonts w:hint="eastAsia"/>
        </w:rPr>
        <w:t>配置备份：每周备份虚拟化平台配置文件，存储在加密 U 盘中，防止配置丢失；</w:t>
      </w:r>
    </w:p>
    <w:p w14:paraId="75B7E371">
      <w:pPr>
        <w:ind w:firstLine="480"/>
        <w:rPr>
          <w:rFonts w:hint="eastAsia"/>
        </w:rPr>
      </w:pPr>
      <w:r>
        <w:rPr>
          <w:rFonts w:hint="eastAsia"/>
        </w:rPr>
        <w:t>版本控制：对虚拟机配置变更进行版本管理，记录每次变更原因，便于回滚至历史稳定配置。</w:t>
      </w:r>
    </w:p>
    <w:p w14:paraId="75B7E372">
      <w:pPr>
        <w:pStyle w:val="5"/>
      </w:pPr>
      <w:r>
        <w:rPr>
          <w:rFonts w:hint="eastAsia"/>
        </w:rPr>
        <w:t>虚拟机管理</w:t>
      </w:r>
    </w:p>
    <w:p w14:paraId="75B7E373">
      <w:pPr>
        <w:pStyle w:val="6"/>
        <w:ind w:firstLine="480" w:firstLineChars="200"/>
        <w:rPr>
          <w:rFonts w:hint="eastAsia"/>
        </w:rPr>
      </w:pPr>
      <w:r>
        <w:rPr>
          <w:rFonts w:hint="eastAsia"/>
        </w:rPr>
        <w:t>虚拟机监控与优化</w:t>
      </w:r>
    </w:p>
    <w:p w14:paraId="75B7E374">
      <w:pPr>
        <w:ind w:firstLine="480"/>
        <w:rPr>
          <w:rFonts w:hint="eastAsia"/>
        </w:rPr>
      </w:pPr>
      <w:r>
        <w:rPr>
          <w:rFonts w:hint="eastAsia"/>
        </w:rPr>
        <w:t>实时性能监控：通过虚拟化监控工具，重点监测 AI 预警虚拟机 GPU 利用率、视频存储虚拟机磁盘 I/O，当出现性能瓶颈时，自动触发告警并扩容资源；</w:t>
      </w:r>
    </w:p>
    <w:p w14:paraId="75B7E375">
      <w:pPr>
        <w:ind w:firstLine="480"/>
        <w:rPr>
          <w:rFonts w:hint="eastAsia"/>
        </w:rPr>
      </w:pPr>
      <w:r>
        <w:rPr>
          <w:rFonts w:hint="eastAsia"/>
        </w:rPr>
        <w:t>针对性优化：</w:t>
      </w:r>
    </w:p>
    <w:p w14:paraId="75B7E376">
      <w:pPr>
        <w:ind w:firstLine="480"/>
        <w:rPr>
          <w:rFonts w:hint="eastAsia"/>
        </w:rPr>
      </w:pPr>
      <w:r>
        <w:rPr>
          <w:rFonts w:hint="eastAsia"/>
        </w:rPr>
        <w:t>对视频存储虚拟机：优化磁盘分区，采用 SSD 缓存提升视频回放速度；</w:t>
      </w:r>
    </w:p>
    <w:p w14:paraId="75B7E377">
      <w:pPr>
        <w:ind w:firstLine="480"/>
        <w:rPr>
          <w:rFonts w:hint="eastAsia"/>
        </w:rPr>
      </w:pPr>
      <w:r>
        <w:rPr>
          <w:rFonts w:hint="eastAsia"/>
        </w:rPr>
        <w:t>对 AI 分析虚拟机：关闭非必要后台进程，将 GPU 资源优先分配给非法捕捞识别算法，识别效率提升 15%。</w:t>
      </w:r>
    </w:p>
    <w:p w14:paraId="75B7E378">
      <w:pPr>
        <w:pStyle w:val="6"/>
        <w:ind w:firstLine="480" w:firstLineChars="200"/>
        <w:rPr>
          <w:rFonts w:hint="eastAsia"/>
        </w:rPr>
      </w:pPr>
      <w:r>
        <w:rPr>
          <w:rFonts w:hint="eastAsia"/>
        </w:rPr>
        <w:t>虚拟机备份与恢复</w:t>
      </w:r>
    </w:p>
    <w:p w14:paraId="75B7E379">
      <w:pPr>
        <w:ind w:firstLine="480"/>
        <w:rPr>
          <w:rFonts w:hint="eastAsia"/>
        </w:rPr>
      </w:pPr>
      <w:r>
        <w:rPr>
          <w:rFonts w:hint="eastAsia"/>
        </w:rPr>
        <w:t>分级备份策略：核心虚拟机每日全量备份 + 实时增量备份，非核心虚拟机每周全量备份；</w:t>
      </w:r>
    </w:p>
    <w:p w14:paraId="75B7E37A">
      <w:pPr>
        <w:ind w:firstLine="480"/>
        <w:rPr>
          <w:rFonts w:hint="eastAsia"/>
        </w:rPr>
      </w:pPr>
      <w:r>
        <w:rPr>
          <w:rFonts w:hint="eastAsia"/>
        </w:rPr>
        <w:t>恢复演练：每季度开展 1 次虚拟机恢复演练，记录恢复时间与数据完整性，形成演练报告并优化流程。</w:t>
      </w:r>
    </w:p>
    <w:p w14:paraId="75B7E37B">
      <w:pPr>
        <w:pStyle w:val="5"/>
      </w:pPr>
      <w:r>
        <w:rPr>
          <w:rFonts w:hint="eastAsia"/>
        </w:rPr>
        <w:t>性能管理</w:t>
      </w:r>
    </w:p>
    <w:p w14:paraId="75B7E37C">
      <w:pPr>
        <w:pStyle w:val="6"/>
        <w:ind w:firstLine="480" w:firstLineChars="200"/>
        <w:rPr>
          <w:rFonts w:hint="eastAsia"/>
        </w:rPr>
      </w:pPr>
      <w:r>
        <w:rPr>
          <w:rFonts w:hint="eastAsia"/>
        </w:rPr>
        <w:t>性能监控体系</w:t>
      </w:r>
    </w:p>
    <w:p w14:paraId="75B7E37D">
      <w:pPr>
        <w:ind w:firstLine="480"/>
        <w:rPr>
          <w:rFonts w:hint="eastAsia"/>
        </w:rPr>
      </w:pPr>
      <w:r>
        <w:rPr>
          <w:rFonts w:hint="eastAsia"/>
        </w:rPr>
        <w:t xml:space="preserve">全维度监控：监控范围覆盖 “虚拟化平台 - 虚拟机 </w:t>
      </w:r>
      <w:r>
        <w:t>–</w:t>
      </w:r>
      <w:r>
        <w:rPr>
          <w:rFonts w:hint="eastAsia"/>
        </w:rPr>
        <w:t xml:space="preserve"> 林业告警业务” 三层，具体指标包括：</w:t>
      </w:r>
    </w:p>
    <w:p w14:paraId="75B7E37E">
      <w:pPr>
        <w:ind w:firstLine="480"/>
        <w:rPr>
          <w:rFonts w:hint="eastAsia"/>
        </w:rPr>
      </w:pPr>
      <w:r>
        <w:rPr>
          <w:rFonts w:hint="eastAsia"/>
        </w:rPr>
        <w:t>平台层：物理服务器 CPU 利用率、内存使用率、存储 IOPS；</w:t>
      </w:r>
    </w:p>
    <w:p w14:paraId="75B7E37F">
      <w:pPr>
        <w:ind w:firstLine="480"/>
        <w:rPr>
          <w:rFonts w:hint="eastAsia"/>
        </w:rPr>
      </w:pPr>
      <w:r>
        <w:rPr>
          <w:rFonts w:hint="eastAsia"/>
        </w:rPr>
        <w:t>虚拟机层：核心虚拟机 CPU / 内存 / 磁盘 I/O、网络带宽（如视频流传输速率）；</w:t>
      </w:r>
    </w:p>
    <w:p w14:paraId="75B7E380">
      <w:pPr>
        <w:ind w:firstLine="480"/>
        <w:rPr>
          <w:rFonts w:hint="eastAsia"/>
        </w:rPr>
      </w:pPr>
      <w:r>
        <w:rPr>
          <w:rFonts w:hint="eastAsia"/>
        </w:rPr>
        <w:t>业务层：林业平台页面加载时间、AI 预警识别延迟、跨部门接口响应时间；</w:t>
      </w:r>
    </w:p>
    <w:p w14:paraId="75B7E381">
      <w:pPr>
        <w:ind w:firstLine="480"/>
        <w:rPr>
          <w:rFonts w:hint="eastAsia"/>
        </w:rPr>
      </w:pPr>
      <w:r>
        <w:rPr>
          <w:rFonts w:hint="eastAsia"/>
        </w:rPr>
        <w:t>告警阈值设置：针对森林防火业务特性，设置差异化阈值（如 AI 虚拟机 GPU 利用率≥90% 告警、视频存储磁盘使用率≥85% 告警），告警信息同步推送至运维 APP 与短信。</w:t>
      </w:r>
    </w:p>
    <w:p w14:paraId="75B7E382">
      <w:pPr>
        <w:pStyle w:val="6"/>
        <w:ind w:firstLine="480" w:firstLineChars="200"/>
        <w:rPr>
          <w:rFonts w:hint="eastAsia"/>
        </w:rPr>
      </w:pPr>
      <w:r>
        <w:rPr>
          <w:rFonts w:hint="eastAsia"/>
        </w:rPr>
        <w:t>性能优化措施</w:t>
      </w:r>
    </w:p>
    <w:p w14:paraId="75B7E383">
      <w:pPr>
        <w:ind w:firstLine="480"/>
        <w:rPr>
          <w:rFonts w:hint="eastAsia"/>
        </w:rPr>
      </w:pPr>
      <w:r>
        <w:rPr>
          <w:rFonts w:hint="eastAsia"/>
        </w:rPr>
        <w:t>资源调整：当AI 虚拟机性能不足时，自动扩容 CPU / 内存资源（如从 16 核扩容至 24 核），或临时迁移部分非核心虚拟机（如培训系统）至其他节点；</w:t>
      </w:r>
    </w:p>
    <w:p w14:paraId="75B7E384">
      <w:pPr>
        <w:ind w:firstLine="480"/>
        <w:rPr>
          <w:rFonts w:hint="eastAsia"/>
        </w:rPr>
      </w:pPr>
      <w:r>
        <w:rPr>
          <w:rFonts w:hint="eastAsia"/>
        </w:rPr>
        <w:t>存储优化：对视频存储虚拟机采用 “热数据（近 7 天视频）存 SSD、冷数据（7 天前视频）存 SATA 盘” 分层存储，提升视频回放速度（冷数据回放延迟≤5 秒）；</w:t>
      </w:r>
    </w:p>
    <w:p w14:paraId="75B7E385">
      <w:pPr>
        <w:ind w:firstLine="480"/>
        <w:rPr>
          <w:rFonts w:hint="eastAsia"/>
        </w:rPr>
      </w:pPr>
      <w:r>
        <w:rPr>
          <w:rFonts w:hint="eastAsia"/>
        </w:rPr>
        <w:t>网络优化：优化虚拟机网络 VLAN 划分（如将 AI 分析虚拟机与视频监控虚拟机划分在同一 VLAN），减少跨 VLAN 数据传输延迟（目标≤1ms）。</w:t>
      </w:r>
    </w:p>
    <w:p w14:paraId="75B7E386">
      <w:pPr>
        <w:pStyle w:val="5"/>
      </w:pPr>
      <w:r>
        <w:rPr>
          <w:rFonts w:hint="eastAsia"/>
        </w:rPr>
        <w:t>故障管理</w:t>
      </w:r>
    </w:p>
    <w:p w14:paraId="75B7E387">
      <w:pPr>
        <w:pStyle w:val="6"/>
        <w:ind w:firstLine="480" w:firstLineChars="200"/>
        <w:rPr>
          <w:rFonts w:hint="eastAsia"/>
        </w:rPr>
      </w:pPr>
      <w:r>
        <w:rPr>
          <w:rFonts w:hint="eastAsia"/>
        </w:rPr>
        <w:t>故障监测与预警</w:t>
      </w:r>
    </w:p>
    <w:p w14:paraId="75B7E388">
      <w:pPr>
        <w:ind w:firstLine="480"/>
        <w:rPr>
          <w:rFonts w:hint="eastAsia"/>
        </w:rPr>
      </w:pPr>
      <w:r>
        <w:rPr>
          <w:rFonts w:hint="eastAsia"/>
        </w:rPr>
        <w:t>实时监测：利用虚拟化监控工具及平台运行日志，实时监测故障类型（硬件故障、软件故障、业务故障）；</w:t>
      </w:r>
    </w:p>
    <w:p w14:paraId="75B7E389">
      <w:pPr>
        <w:ind w:firstLine="480"/>
        <w:rPr>
          <w:rFonts w:hint="eastAsia"/>
        </w:rPr>
      </w:pPr>
      <w:r>
        <w:rPr>
          <w:rFonts w:hint="eastAsia"/>
        </w:rPr>
        <w:t>分级预警：按故障影响范围分为一级（核心业务中断，如平台瘫痪）、二级（局部功能异常，如单个区县数据同步失败）、三级（轻微异常，如非核心虚拟机卡顿）。</w:t>
      </w:r>
    </w:p>
    <w:p w14:paraId="75B7E38A">
      <w:pPr>
        <w:pStyle w:val="6"/>
        <w:ind w:firstLine="480" w:firstLineChars="200"/>
        <w:rPr>
          <w:rFonts w:hint="eastAsia"/>
        </w:rPr>
      </w:pPr>
      <w:r>
        <w:rPr>
          <w:rFonts w:hint="eastAsia"/>
        </w:rPr>
        <w:t>故障排除与恢复</w:t>
      </w:r>
    </w:p>
    <w:p w14:paraId="75B7E38B">
      <w:pPr>
        <w:ind w:firstLine="480"/>
        <w:rPr>
          <w:rFonts w:hint="eastAsia"/>
        </w:rPr>
      </w:pPr>
      <w:r>
        <w:rPr>
          <w:rFonts w:hint="eastAsia"/>
        </w:rPr>
        <w:t>流程化处置：制定《渔政虚拟化故障处置流程》，明确 “故障上报 - 定位 - 排除 - 验证 - 复盘” 步骤，如：</w:t>
      </w:r>
    </w:p>
    <w:p w14:paraId="75B7E38C">
      <w:pPr>
        <w:ind w:firstLine="480"/>
        <w:rPr>
          <w:rFonts w:hint="eastAsia"/>
        </w:rPr>
      </w:pPr>
      <w:r>
        <w:rPr>
          <w:rFonts w:hint="eastAsia"/>
        </w:rPr>
        <w:t>执法人员发现 AI 预警中断（上报运维工单）；</w:t>
      </w:r>
    </w:p>
    <w:p w14:paraId="75B7E38D">
      <w:pPr>
        <w:ind w:firstLine="480"/>
        <w:rPr>
          <w:rFonts w:hint="eastAsia"/>
        </w:rPr>
      </w:pPr>
      <w:r>
        <w:rPr>
          <w:rFonts w:hint="eastAsia"/>
        </w:rPr>
        <w:t>运维人员通过虚拟化工具定位 AI 虚拟机 CPU 满负荷；</w:t>
      </w:r>
    </w:p>
    <w:p w14:paraId="75B7E38E">
      <w:pPr>
        <w:ind w:firstLine="480"/>
        <w:rPr>
          <w:rFonts w:hint="eastAsia"/>
        </w:rPr>
      </w:pPr>
      <w:r>
        <w:rPr>
          <w:rFonts w:hint="eastAsia"/>
        </w:rPr>
        <w:t>临时扩容 CPU 资源（从 16 核至 24 核），恢复预警功能；</w:t>
      </w:r>
    </w:p>
    <w:p w14:paraId="75B7E38F">
      <w:pPr>
        <w:ind w:firstLine="480"/>
        <w:rPr>
          <w:rFonts w:hint="eastAsia"/>
        </w:rPr>
      </w:pPr>
      <w:r>
        <w:rPr>
          <w:rFonts w:hint="eastAsia"/>
        </w:rPr>
        <w:t>验证预警识别正常（测试 10 条模拟数据）；</w:t>
      </w:r>
    </w:p>
    <w:p w14:paraId="75B7E390">
      <w:pPr>
        <w:ind w:firstLine="480"/>
        <w:rPr>
          <w:rFonts w:hint="eastAsia"/>
        </w:rPr>
      </w:pPr>
      <w:r>
        <w:rPr>
          <w:rFonts w:hint="eastAsia"/>
        </w:rPr>
        <w:t>复盘 CPU 满负荷原因（枯水期预警量激增），制定高峰扩容预案；</w:t>
      </w:r>
    </w:p>
    <w:p w14:paraId="75B7E391">
      <w:pPr>
        <w:ind w:firstLine="480"/>
        <w:rPr>
          <w:rFonts w:hint="eastAsia"/>
        </w:rPr>
      </w:pPr>
      <w:r>
        <w:rPr>
          <w:rFonts w:hint="eastAsia"/>
        </w:rPr>
        <w:t>知识库建设：收集渔政虚拟化常见故障（如虚拟机无法启动、存储挂载失败）及解决方案，形成《故障处置知识库》，运维人员可快速检索参考，故障排除时间缩短至 30 分钟内；</w:t>
      </w:r>
    </w:p>
    <w:p w14:paraId="75B7E392">
      <w:pPr>
        <w:pStyle w:val="5"/>
      </w:pPr>
      <w:r>
        <w:rPr>
          <w:rFonts w:hint="eastAsia"/>
        </w:rPr>
        <w:t>故障处理流程</w:t>
      </w:r>
    </w:p>
    <w:p w14:paraId="75B7E393">
      <w:pPr>
        <w:ind w:firstLine="480"/>
        <w:rPr>
          <w:rFonts w:hint="eastAsia"/>
        </w:rPr>
      </w:pPr>
      <w:r>
        <w:t>设备故障处理机制将建立快速响应通道，确保各类软硬件故障得到及时有效解决。工作流程包括故障接报、远程诊断、现场处置及事后复盘四个阶段。对于一般性故障，依托远程技术支持系统进行即时修复；对于重大故障或涉及核心业务的紧急情况，启动应急预案，派遣专业人员赶赴现场。处理过程中将严格遵守操作规程，避免因误操作引发次生问题。故障处理完毕后，形成详细分析报告，总结经验教训，优化维护策略，防止同类问题再次发生，持续提升系统整体可靠性。</w:t>
      </w:r>
    </w:p>
    <w:p w14:paraId="75B7E394">
      <w:pPr>
        <w:ind w:firstLine="480"/>
        <w:rPr>
          <w:rFonts w:hint="eastAsia"/>
        </w:rPr>
      </w:pPr>
      <w:r>
        <w:rPr>
          <w:rFonts w:hint="eastAsia"/>
        </w:rPr>
        <w:t>故障申报:用户通过电话、邮件、运维平台等方式申报故障。</w:t>
      </w:r>
    </w:p>
    <w:p w14:paraId="75B7E395">
      <w:pPr>
        <w:ind w:firstLine="480"/>
        <w:rPr>
          <w:rFonts w:hint="eastAsia"/>
        </w:rPr>
      </w:pPr>
      <w:r>
        <w:rPr>
          <w:rFonts w:hint="eastAsia"/>
        </w:rPr>
        <w:t>故障受理:运维团队接收故障申报，并记录故障信息。</w:t>
      </w:r>
    </w:p>
    <w:p w14:paraId="75B7E396">
      <w:pPr>
        <w:ind w:firstLine="480"/>
        <w:rPr>
          <w:rFonts w:hint="eastAsia"/>
        </w:rPr>
      </w:pPr>
      <w:r>
        <w:rPr>
          <w:rFonts w:hint="eastAsia"/>
        </w:rPr>
        <w:t>故障诊断:运维团队对故障进行诊断，确定故障原因和影响范围。</w:t>
      </w:r>
    </w:p>
    <w:p w14:paraId="75B7E397">
      <w:pPr>
        <w:ind w:firstLine="480"/>
        <w:rPr>
          <w:rFonts w:hint="eastAsia"/>
        </w:rPr>
      </w:pPr>
      <w:r>
        <w:rPr>
          <w:rFonts w:hint="eastAsia"/>
        </w:rPr>
        <w:t>故障处理:运维团队根据故障原因，采取相应的措施进行处理。</w:t>
      </w:r>
    </w:p>
    <w:p w14:paraId="75B7E398">
      <w:pPr>
        <w:ind w:firstLine="480"/>
        <w:rPr>
          <w:rFonts w:hint="eastAsia"/>
        </w:rPr>
      </w:pPr>
      <w:r>
        <w:rPr>
          <w:rFonts w:hint="eastAsia"/>
        </w:rPr>
        <w:t>故障恢复:故障处理完成后，运维团队进行测试，确保平台恢复正常运行。</w:t>
      </w:r>
    </w:p>
    <w:p w14:paraId="75B7E399">
      <w:pPr>
        <w:ind w:firstLine="480"/>
        <w:rPr>
          <w:rFonts w:hint="eastAsia"/>
        </w:rPr>
      </w:pPr>
      <w:r>
        <w:rPr>
          <w:rFonts w:hint="eastAsia"/>
        </w:rPr>
        <w:t>故障总结:运维团队对故障进行分析总结，形成故障报告，并制定预防措施。</w:t>
      </w:r>
    </w:p>
    <w:p w14:paraId="75B7E39A">
      <w:pPr>
        <w:pStyle w:val="5"/>
      </w:pPr>
      <w:r>
        <w:rPr>
          <w:rFonts w:hint="eastAsia"/>
        </w:rPr>
        <w:t>定期巡检计划</w:t>
      </w:r>
    </w:p>
    <w:p w14:paraId="75B7E39B">
      <w:pPr>
        <w:ind w:firstLine="480"/>
        <w:rPr>
          <w:rFonts w:hint="eastAsia"/>
        </w:rPr>
      </w:pPr>
      <w:r>
        <w:t>硬件设备维护工作将覆盖本项目涉及的所有服务器、存储设备、网络设备及前端感知设施，确保其长期稳定运行。维护内容包括定期巡检、故障排查、部件更换及性能优化等关键环节。针对岳阳市政务云机房内的核心设备，建立详细的资产台账与维护日志，记录每一次操作细节。对于部署在林区前端的视频监控、无人机机场及超短波基站，制定针对性的野外维护方案，克服地形复杂、气候多变等困难。维护团队将配备专业工具与备件库，确保在设备发生故障时能够快速响应并修复，最大限度减少对森林防火工作的影响。</w:t>
      </w:r>
    </w:p>
    <w:p w14:paraId="75B7E39C">
      <w:pPr>
        <w:ind w:firstLine="480"/>
        <w:rPr>
          <w:rFonts w:hint="eastAsia"/>
        </w:rPr>
      </w:pPr>
      <w:r>
        <w:t>软件设备维护将聚焦于操作系统、数据库、中间件及应用软件的日常管理与升级优化。</w:t>
      </w:r>
    </w:p>
    <w:p w14:paraId="75B7E39D">
      <w:pPr>
        <w:ind w:firstLine="480"/>
        <w:rPr>
          <w:rFonts w:hint="eastAsia"/>
          <w:highlight w:val="none"/>
        </w:rPr>
      </w:pPr>
      <w:r>
        <w:rPr>
          <w:rFonts w:hint="eastAsia"/>
          <w:highlight w:val="none"/>
        </w:rPr>
        <w:t>巡检频率:每月进行一次全面巡检，每周进行一次重点巡检。</w:t>
      </w:r>
    </w:p>
    <w:p w14:paraId="75B7E39E">
      <w:pPr>
        <w:ind w:firstLine="480"/>
        <w:rPr>
          <w:rFonts w:hint="eastAsia"/>
        </w:rPr>
      </w:pPr>
      <w:r>
        <w:rPr>
          <w:rFonts w:hint="eastAsia"/>
        </w:rPr>
        <w:t>巡检内容:</w:t>
      </w:r>
    </w:p>
    <w:p w14:paraId="75B7E39F">
      <w:pPr>
        <w:ind w:firstLine="480"/>
        <w:rPr>
          <w:rFonts w:hint="eastAsia"/>
        </w:rPr>
      </w:pPr>
      <w:r>
        <w:rPr>
          <w:rFonts w:hint="eastAsia"/>
        </w:rPr>
        <w:t>硬件设备:检查云服务器、存储、网络设备等硬件设备的运行状态。</w:t>
      </w:r>
    </w:p>
    <w:p w14:paraId="75B7E3A0">
      <w:pPr>
        <w:ind w:firstLine="480"/>
        <w:rPr>
          <w:rFonts w:hint="eastAsia"/>
        </w:rPr>
      </w:pPr>
      <w:r>
        <w:rPr>
          <w:rFonts w:hint="eastAsia"/>
        </w:rPr>
        <w:t>软件系统:检查操作系统、数据库、中间件、应用系统等软件系统的运行状态。</w:t>
      </w:r>
    </w:p>
    <w:p w14:paraId="75B7E3A1">
      <w:pPr>
        <w:ind w:firstLine="480"/>
        <w:rPr>
          <w:rFonts w:hint="eastAsia"/>
        </w:rPr>
      </w:pPr>
      <w:r>
        <w:rPr>
          <w:rFonts w:hint="eastAsia"/>
        </w:rPr>
        <w:t>安全策略:检查安全策略的执行情况，进行安全漏洞扫描。</w:t>
      </w:r>
    </w:p>
    <w:p w14:paraId="75B7E3A2">
      <w:pPr>
        <w:ind w:firstLine="480"/>
        <w:rPr>
          <w:rFonts w:hint="eastAsia"/>
        </w:rPr>
      </w:pPr>
      <w:r>
        <w:rPr>
          <w:rFonts w:hint="eastAsia"/>
        </w:rPr>
        <w:t>日志分析:分析系统日志、安全日志等，发现潜在问题。</w:t>
      </w:r>
    </w:p>
    <w:p w14:paraId="75B7E3A3">
      <w:pPr>
        <w:pStyle w:val="4"/>
        <w:rPr>
          <w:rFonts w:hint="eastAsia"/>
          <w:lang w:val="en-US"/>
        </w:rPr>
      </w:pPr>
      <w:bookmarkStart w:id="195" w:name="_Toc3559"/>
      <w:bookmarkStart w:id="196" w:name="_Toc120653649"/>
      <w:bookmarkStart w:id="197" w:name="_Toc6819"/>
      <w:r>
        <w:rPr>
          <w:rFonts w:hint="eastAsia"/>
          <w:lang w:val="en-US"/>
        </w:rPr>
        <w:t>服务组织及机制</w:t>
      </w:r>
      <w:bookmarkEnd w:id="195"/>
      <w:bookmarkEnd w:id="196"/>
      <w:bookmarkEnd w:id="197"/>
    </w:p>
    <w:p w14:paraId="75B7E3A4">
      <w:pPr>
        <w:pStyle w:val="5"/>
      </w:pPr>
      <w:bookmarkStart w:id="198" w:name="_Toc2235"/>
      <w:r>
        <w:rPr>
          <w:rFonts w:hint="eastAsia"/>
        </w:rPr>
        <w:t>服务的组织机构</w:t>
      </w:r>
      <w:bookmarkEnd w:id="198"/>
    </w:p>
    <w:p w14:paraId="75B7E3A5">
      <w:pPr>
        <w:ind w:firstLine="480"/>
        <w:rPr>
          <w:rFonts w:hint="eastAsia"/>
        </w:rPr>
      </w:pPr>
      <w:r>
        <w:rPr>
          <w:rFonts w:hint="eastAsia"/>
        </w:rPr>
        <w:t>工程完工时，由</w:t>
      </w:r>
      <w:r>
        <w:rPr>
          <w:rFonts w:hint="eastAsia"/>
          <w:lang w:val="en-US"/>
        </w:rPr>
        <w:t>运维机构（中标本项目的建设单位）</w:t>
      </w:r>
      <w:r>
        <w:rPr>
          <w:rFonts w:hint="eastAsia"/>
        </w:rPr>
        <w:t>直接负责对工程竣工后保修期内，售后服务的组织工作和保修结束后为业主提供维修保养计划。同时，保证设备厂商直接参与运维保障服务。</w:t>
      </w:r>
      <w:r>
        <w:rPr>
          <w:rFonts w:hint="eastAsia"/>
          <w:lang w:val="en-US"/>
        </w:rPr>
        <w:t>运维机构</w:t>
      </w:r>
      <w:r>
        <w:rPr>
          <w:rFonts w:hint="eastAsia"/>
        </w:rPr>
        <w:t>承诺成立专门售后服务团队，向客户提供现场技术支持与维护保障等工作。</w:t>
      </w:r>
    </w:p>
    <w:p w14:paraId="75B7E3A6">
      <w:pPr>
        <w:ind w:firstLine="480"/>
        <w:rPr>
          <w:rFonts w:hint="eastAsia"/>
        </w:rPr>
      </w:pPr>
      <w:r>
        <w:rPr>
          <w:rFonts w:hint="eastAsia"/>
        </w:rPr>
        <w:t>运维服务阶段实行项目领导小组领导下的双团体合作机制，由项目经理实行“扁平式”管理模式。按照职能划分技术支持团队和客户服务团队，客户服务团体设客户服务经理一名，负责客户服务团队和技术支持团队在服务阶段的工作。</w:t>
      </w:r>
    </w:p>
    <w:p w14:paraId="75B7E3A7">
      <w:pPr>
        <w:ind w:firstLine="480"/>
        <w:rPr>
          <w:rFonts w:hint="eastAsia"/>
        </w:rPr>
      </w:pPr>
      <w:r>
        <w:rPr>
          <w:rFonts w:hint="eastAsia"/>
        </w:rPr>
        <w:t>（1）服务经理</w:t>
      </w:r>
    </w:p>
    <w:p w14:paraId="75B7E3A8">
      <w:pPr>
        <w:numPr>
          <w:ilvl w:val="0"/>
          <w:numId w:val="16"/>
        </w:numPr>
        <w:ind w:left="0" w:firstLine="480"/>
        <w:rPr>
          <w:rFonts w:hint="eastAsia"/>
        </w:rPr>
      </w:pPr>
      <w:r>
        <w:rPr>
          <w:rFonts w:hint="eastAsia"/>
        </w:rPr>
        <w:t>责任</w:t>
      </w:r>
    </w:p>
    <w:p w14:paraId="75B7E3A9">
      <w:pPr>
        <w:ind w:firstLine="480"/>
        <w:rPr>
          <w:rFonts w:hint="eastAsia"/>
        </w:rPr>
      </w:pPr>
      <w:r>
        <w:rPr>
          <w:rFonts w:hint="eastAsia"/>
        </w:rPr>
        <w:t>客服服务经理向项目总负责人负责，负责客户服务团队的管理工作。</w:t>
      </w:r>
    </w:p>
    <w:p w14:paraId="75B7E3AA">
      <w:pPr>
        <w:numPr>
          <w:ilvl w:val="0"/>
          <w:numId w:val="16"/>
        </w:numPr>
        <w:ind w:left="0" w:firstLine="480"/>
        <w:rPr>
          <w:rFonts w:hint="eastAsia"/>
        </w:rPr>
      </w:pPr>
      <w:r>
        <w:rPr>
          <w:rFonts w:hint="eastAsia"/>
        </w:rPr>
        <w:t>行为</w:t>
      </w:r>
    </w:p>
    <w:p w14:paraId="75B7E3AB">
      <w:pPr>
        <w:ind w:firstLine="480"/>
        <w:rPr>
          <w:rFonts w:hint="eastAsia"/>
        </w:rPr>
      </w:pPr>
      <w:r>
        <w:rPr>
          <w:rFonts w:hint="eastAsia"/>
        </w:rPr>
        <w:t>客户服务经理的主要活动包括：</w:t>
      </w:r>
    </w:p>
    <w:p w14:paraId="75B7E3AC">
      <w:pPr>
        <w:ind w:firstLine="480"/>
        <w:rPr>
          <w:rFonts w:hint="eastAsia"/>
        </w:rPr>
      </w:pPr>
      <w:r>
        <w:rPr>
          <w:rFonts w:hint="eastAsia"/>
        </w:rPr>
        <w:t>1）</w:t>
      </w:r>
      <w:r>
        <w:rPr>
          <w:rFonts w:hint="eastAsia"/>
        </w:rPr>
        <w:tab/>
      </w:r>
      <w:r>
        <w:rPr>
          <w:rFonts w:hint="eastAsia"/>
        </w:rPr>
        <w:t>协调用户关系。</w:t>
      </w:r>
    </w:p>
    <w:p w14:paraId="75B7E3AD">
      <w:pPr>
        <w:ind w:firstLine="480"/>
        <w:rPr>
          <w:rFonts w:hint="eastAsia"/>
        </w:rPr>
      </w:pPr>
      <w:r>
        <w:rPr>
          <w:rFonts w:hint="eastAsia"/>
        </w:rPr>
        <w:t>2）</w:t>
      </w:r>
      <w:r>
        <w:rPr>
          <w:rFonts w:hint="eastAsia"/>
        </w:rPr>
        <w:tab/>
      </w:r>
      <w:r>
        <w:rPr>
          <w:rFonts w:hint="eastAsia"/>
        </w:rPr>
        <w:t>制定运营服务规范。</w:t>
      </w:r>
    </w:p>
    <w:p w14:paraId="75B7E3AE">
      <w:pPr>
        <w:ind w:firstLine="480"/>
        <w:rPr>
          <w:rFonts w:hint="eastAsia"/>
        </w:rPr>
      </w:pPr>
      <w:r>
        <w:rPr>
          <w:rFonts w:hint="eastAsia"/>
        </w:rPr>
        <w:t>3）</w:t>
      </w:r>
      <w:r>
        <w:rPr>
          <w:rFonts w:hint="eastAsia"/>
        </w:rPr>
        <w:tab/>
      </w:r>
      <w:r>
        <w:rPr>
          <w:rFonts w:hint="eastAsia"/>
        </w:rPr>
        <w:t>制定运营服务计划。</w:t>
      </w:r>
    </w:p>
    <w:p w14:paraId="75B7E3AF">
      <w:pPr>
        <w:ind w:firstLine="480"/>
        <w:rPr>
          <w:rFonts w:hint="eastAsia"/>
        </w:rPr>
      </w:pPr>
      <w:r>
        <w:rPr>
          <w:rFonts w:hint="eastAsia"/>
        </w:rPr>
        <w:t>4）</w:t>
      </w:r>
      <w:r>
        <w:rPr>
          <w:rFonts w:hint="eastAsia"/>
        </w:rPr>
        <w:tab/>
      </w:r>
      <w:r>
        <w:rPr>
          <w:rFonts w:hint="eastAsia"/>
        </w:rPr>
        <w:t>协调运营服务资源。</w:t>
      </w:r>
    </w:p>
    <w:p w14:paraId="75B7E3B0">
      <w:pPr>
        <w:ind w:firstLine="480"/>
        <w:rPr>
          <w:rFonts w:hint="eastAsia"/>
        </w:rPr>
      </w:pPr>
      <w:r>
        <w:rPr>
          <w:rFonts w:hint="eastAsia"/>
        </w:rPr>
        <w:t>5）</w:t>
      </w:r>
      <w:r>
        <w:rPr>
          <w:rFonts w:hint="eastAsia"/>
        </w:rPr>
        <w:tab/>
      </w:r>
      <w:r>
        <w:rPr>
          <w:rFonts w:hint="eastAsia"/>
        </w:rPr>
        <w:t>检验运营服务质量。</w:t>
      </w:r>
    </w:p>
    <w:p w14:paraId="75B7E3B1">
      <w:pPr>
        <w:numPr>
          <w:ilvl w:val="0"/>
          <w:numId w:val="16"/>
        </w:numPr>
        <w:ind w:left="0" w:firstLine="480"/>
        <w:rPr>
          <w:rFonts w:hint="eastAsia"/>
        </w:rPr>
      </w:pPr>
      <w:r>
        <w:rPr>
          <w:rFonts w:hint="eastAsia"/>
        </w:rPr>
        <w:t>能力</w:t>
      </w:r>
    </w:p>
    <w:p w14:paraId="75B7E3B2">
      <w:pPr>
        <w:ind w:firstLine="480"/>
        <w:rPr>
          <w:rFonts w:hint="eastAsia"/>
        </w:rPr>
      </w:pPr>
      <w:r>
        <w:rPr>
          <w:rFonts w:hint="eastAsia"/>
        </w:rPr>
        <w:t>客户服务经理具有的能力：</w:t>
      </w:r>
    </w:p>
    <w:p w14:paraId="75B7E3B3">
      <w:pPr>
        <w:ind w:firstLine="480"/>
        <w:rPr>
          <w:rFonts w:hint="eastAsia"/>
        </w:rPr>
      </w:pPr>
      <w:r>
        <w:rPr>
          <w:rFonts w:hint="eastAsia"/>
        </w:rPr>
        <w:t>1）</w:t>
      </w:r>
      <w:r>
        <w:rPr>
          <w:rFonts w:hint="eastAsia"/>
        </w:rPr>
        <w:tab/>
      </w:r>
      <w:r>
        <w:rPr>
          <w:rFonts w:hint="eastAsia"/>
        </w:rPr>
        <w:t>良好的客户沟通能力。</w:t>
      </w:r>
    </w:p>
    <w:p w14:paraId="75B7E3B4">
      <w:pPr>
        <w:ind w:firstLine="480"/>
        <w:rPr>
          <w:rFonts w:hint="eastAsia"/>
        </w:rPr>
      </w:pPr>
      <w:r>
        <w:rPr>
          <w:rFonts w:hint="eastAsia"/>
        </w:rPr>
        <w:t>2）</w:t>
      </w:r>
      <w:r>
        <w:rPr>
          <w:rFonts w:hint="eastAsia"/>
        </w:rPr>
        <w:tab/>
      </w:r>
      <w:r>
        <w:rPr>
          <w:rFonts w:hint="eastAsia"/>
        </w:rPr>
        <w:t>良好的项目管理能力。</w:t>
      </w:r>
    </w:p>
    <w:p w14:paraId="75B7E3B5">
      <w:pPr>
        <w:ind w:firstLine="480"/>
        <w:rPr>
          <w:rFonts w:hint="eastAsia"/>
        </w:rPr>
      </w:pPr>
      <w:r>
        <w:rPr>
          <w:rFonts w:hint="eastAsia"/>
        </w:rPr>
        <w:t>3）</w:t>
      </w:r>
      <w:r>
        <w:rPr>
          <w:rFonts w:hint="eastAsia"/>
        </w:rPr>
        <w:tab/>
      </w:r>
      <w:r>
        <w:rPr>
          <w:rFonts w:hint="eastAsia"/>
        </w:rPr>
        <w:t>良好地控制风险能力。</w:t>
      </w:r>
    </w:p>
    <w:p w14:paraId="75B7E3B6">
      <w:pPr>
        <w:ind w:firstLine="480"/>
        <w:rPr>
          <w:rFonts w:hint="eastAsia"/>
        </w:rPr>
      </w:pPr>
      <w:r>
        <w:rPr>
          <w:rFonts w:hint="eastAsia"/>
        </w:rPr>
        <w:t>（2）客户培训人员</w:t>
      </w:r>
    </w:p>
    <w:p w14:paraId="75B7E3B7">
      <w:pPr>
        <w:numPr>
          <w:ilvl w:val="0"/>
          <w:numId w:val="16"/>
        </w:numPr>
        <w:ind w:left="0" w:firstLine="480"/>
        <w:rPr>
          <w:rFonts w:hint="eastAsia"/>
        </w:rPr>
      </w:pPr>
      <w:r>
        <w:rPr>
          <w:rFonts w:hint="eastAsia"/>
        </w:rPr>
        <w:t>责任</w:t>
      </w:r>
    </w:p>
    <w:p w14:paraId="75B7E3B8">
      <w:pPr>
        <w:ind w:firstLine="480"/>
        <w:rPr>
          <w:rFonts w:hint="eastAsia"/>
        </w:rPr>
      </w:pPr>
      <w:r>
        <w:rPr>
          <w:rFonts w:hint="eastAsia"/>
        </w:rPr>
        <w:t>在目标系统投入使用过程中，客户培训人员负责知识的授予工作。客户培训人员根据用户情况，定制培训计划、培训内容和培训课程。帮助业务用户尽快掌握系统使用，帮助管理用户尽快掌握系统管理。</w:t>
      </w:r>
    </w:p>
    <w:p w14:paraId="75B7E3B9">
      <w:pPr>
        <w:numPr>
          <w:ilvl w:val="0"/>
          <w:numId w:val="16"/>
        </w:numPr>
        <w:ind w:left="0" w:firstLine="480"/>
        <w:rPr>
          <w:rFonts w:hint="eastAsia"/>
        </w:rPr>
      </w:pPr>
      <w:r>
        <w:rPr>
          <w:rFonts w:hint="eastAsia"/>
        </w:rPr>
        <w:t>行为</w:t>
      </w:r>
    </w:p>
    <w:p w14:paraId="75B7E3BA">
      <w:pPr>
        <w:ind w:firstLine="480"/>
        <w:rPr>
          <w:rFonts w:hint="eastAsia"/>
        </w:rPr>
      </w:pPr>
      <w:r>
        <w:rPr>
          <w:rFonts w:hint="eastAsia"/>
        </w:rPr>
        <w:t xml:space="preserve">客户培训人员执行的主要活动包括： </w:t>
      </w:r>
    </w:p>
    <w:p w14:paraId="75B7E3BB">
      <w:pPr>
        <w:ind w:firstLine="480"/>
        <w:rPr>
          <w:rFonts w:hint="eastAsia"/>
        </w:rPr>
      </w:pPr>
      <w:r>
        <w:rPr>
          <w:rFonts w:hint="eastAsia"/>
        </w:rPr>
        <w:t>1）</w:t>
      </w:r>
      <w:r>
        <w:rPr>
          <w:rFonts w:hint="eastAsia"/>
        </w:rPr>
        <w:tab/>
      </w:r>
      <w:r>
        <w:rPr>
          <w:rFonts w:hint="eastAsia"/>
        </w:rPr>
        <w:t>负责策划和实施培训工作。</w:t>
      </w:r>
    </w:p>
    <w:p w14:paraId="75B7E3BC">
      <w:pPr>
        <w:ind w:firstLine="480"/>
        <w:rPr>
          <w:rFonts w:hint="eastAsia"/>
        </w:rPr>
      </w:pPr>
      <w:r>
        <w:rPr>
          <w:rFonts w:hint="eastAsia"/>
        </w:rPr>
        <w:t>2）</w:t>
      </w:r>
      <w:r>
        <w:rPr>
          <w:rFonts w:hint="eastAsia"/>
        </w:rPr>
        <w:tab/>
      </w:r>
      <w:r>
        <w:rPr>
          <w:rFonts w:hint="eastAsia"/>
        </w:rPr>
        <w:t>协助技术支持人员准备培训环境。</w:t>
      </w:r>
    </w:p>
    <w:p w14:paraId="75B7E3BD">
      <w:pPr>
        <w:ind w:firstLine="480"/>
        <w:rPr>
          <w:rFonts w:hint="eastAsia"/>
        </w:rPr>
      </w:pPr>
      <w:r>
        <w:rPr>
          <w:rFonts w:hint="eastAsia"/>
        </w:rPr>
        <w:t>3）</w:t>
      </w:r>
      <w:r>
        <w:rPr>
          <w:rFonts w:hint="eastAsia"/>
        </w:rPr>
        <w:tab/>
      </w:r>
      <w:r>
        <w:rPr>
          <w:rFonts w:hint="eastAsia"/>
        </w:rPr>
        <w:t>负责各级培训教材的编写、培训计划的制定，以及培训方面的其他准备工作和实施工作。</w:t>
      </w:r>
    </w:p>
    <w:p w14:paraId="75B7E3BE">
      <w:pPr>
        <w:ind w:firstLine="480"/>
        <w:rPr>
          <w:rFonts w:hint="eastAsia"/>
        </w:rPr>
      </w:pPr>
      <w:r>
        <w:rPr>
          <w:rFonts w:hint="eastAsia"/>
        </w:rPr>
        <w:t>4）</w:t>
      </w:r>
      <w:r>
        <w:rPr>
          <w:rFonts w:hint="eastAsia"/>
        </w:rPr>
        <w:tab/>
      </w:r>
      <w:r>
        <w:rPr>
          <w:rFonts w:hint="eastAsia"/>
        </w:rPr>
        <w:t>负责提供用户操作培训和系统管理培训。</w:t>
      </w:r>
    </w:p>
    <w:p w14:paraId="75B7E3BF">
      <w:pPr>
        <w:ind w:firstLine="480"/>
        <w:rPr>
          <w:rFonts w:hint="eastAsia"/>
        </w:rPr>
      </w:pPr>
      <w:r>
        <w:rPr>
          <w:rFonts w:hint="eastAsia"/>
        </w:rPr>
        <w:t>5）</w:t>
      </w:r>
      <w:r>
        <w:rPr>
          <w:rFonts w:hint="eastAsia"/>
        </w:rPr>
        <w:tab/>
      </w:r>
      <w:r>
        <w:rPr>
          <w:rFonts w:hint="eastAsia"/>
        </w:rPr>
        <w:t>在系统运行过程中，跟随软硬件版本的提升，提供相应的用户操作培训和系统管理培训。</w:t>
      </w:r>
    </w:p>
    <w:p w14:paraId="75B7E3C0">
      <w:pPr>
        <w:ind w:firstLine="480"/>
        <w:rPr>
          <w:rFonts w:hint="eastAsia"/>
        </w:rPr>
      </w:pPr>
      <w:r>
        <w:rPr>
          <w:rFonts w:hint="eastAsia"/>
        </w:rPr>
        <w:t>6）</w:t>
      </w:r>
      <w:r>
        <w:rPr>
          <w:rFonts w:hint="eastAsia"/>
        </w:rPr>
        <w:tab/>
      </w:r>
      <w:r>
        <w:rPr>
          <w:rFonts w:hint="eastAsia"/>
        </w:rPr>
        <w:t>在系统运行过程中，提供用户业务提升和技术提升培训。</w:t>
      </w:r>
    </w:p>
    <w:p w14:paraId="75B7E3C1">
      <w:pPr>
        <w:numPr>
          <w:ilvl w:val="0"/>
          <w:numId w:val="16"/>
        </w:numPr>
        <w:ind w:left="0" w:firstLine="480"/>
        <w:rPr>
          <w:rFonts w:hint="eastAsia"/>
        </w:rPr>
      </w:pPr>
      <w:r>
        <w:rPr>
          <w:rFonts w:hint="eastAsia"/>
        </w:rPr>
        <w:t>能力</w:t>
      </w:r>
    </w:p>
    <w:p w14:paraId="75B7E3C2">
      <w:pPr>
        <w:ind w:firstLine="480"/>
        <w:rPr>
          <w:rFonts w:hint="eastAsia"/>
        </w:rPr>
      </w:pPr>
      <w:r>
        <w:rPr>
          <w:rFonts w:hint="eastAsia"/>
        </w:rPr>
        <w:t>客户培训人员具有的能力包括：</w:t>
      </w:r>
    </w:p>
    <w:p w14:paraId="75B7E3C3">
      <w:pPr>
        <w:ind w:firstLine="480"/>
        <w:rPr>
          <w:rFonts w:hint="eastAsia"/>
        </w:rPr>
      </w:pPr>
      <w:r>
        <w:rPr>
          <w:rFonts w:hint="eastAsia"/>
        </w:rPr>
        <w:t>1）</w:t>
      </w:r>
      <w:r>
        <w:rPr>
          <w:rFonts w:hint="eastAsia"/>
        </w:rPr>
        <w:tab/>
      </w:r>
      <w:r>
        <w:rPr>
          <w:rFonts w:hint="eastAsia"/>
        </w:rPr>
        <w:t>有很好的授课经验。</w:t>
      </w:r>
    </w:p>
    <w:p w14:paraId="75B7E3C4">
      <w:pPr>
        <w:ind w:firstLine="480"/>
        <w:rPr>
          <w:rFonts w:hint="eastAsia"/>
        </w:rPr>
      </w:pPr>
      <w:r>
        <w:rPr>
          <w:rFonts w:hint="eastAsia"/>
        </w:rPr>
        <w:t>2）</w:t>
      </w:r>
      <w:r>
        <w:rPr>
          <w:rFonts w:hint="eastAsia"/>
        </w:rPr>
        <w:tab/>
      </w:r>
      <w:r>
        <w:rPr>
          <w:rFonts w:hint="eastAsia"/>
        </w:rPr>
        <w:t>熟悉所讲授的课程。</w:t>
      </w:r>
    </w:p>
    <w:p w14:paraId="75B7E3C5">
      <w:pPr>
        <w:ind w:firstLine="480"/>
        <w:rPr>
          <w:rFonts w:hint="eastAsia"/>
        </w:rPr>
      </w:pPr>
      <w:r>
        <w:rPr>
          <w:rFonts w:hint="eastAsia"/>
        </w:rPr>
        <w:t>（3）客户服务人员</w:t>
      </w:r>
    </w:p>
    <w:p w14:paraId="75B7E3C6">
      <w:pPr>
        <w:numPr>
          <w:ilvl w:val="0"/>
          <w:numId w:val="16"/>
        </w:numPr>
        <w:ind w:left="0" w:firstLine="480"/>
        <w:rPr>
          <w:rFonts w:hint="eastAsia"/>
        </w:rPr>
      </w:pPr>
      <w:r>
        <w:rPr>
          <w:rFonts w:hint="eastAsia"/>
        </w:rPr>
        <w:t>责任</w:t>
      </w:r>
    </w:p>
    <w:p w14:paraId="75B7E3C7">
      <w:pPr>
        <w:ind w:firstLine="480"/>
        <w:rPr>
          <w:rFonts w:hint="eastAsia"/>
        </w:rPr>
      </w:pPr>
      <w:r>
        <w:rPr>
          <w:rFonts w:hint="eastAsia"/>
        </w:rPr>
        <w:t>客户服务人员最重要的目标是提供及时的、有效的、精确的用户支持。客户服务人员通过邮件、热线、网站等各种方式为客户提供问题解答服务。并为开发/设计团队提供产品质量反馈。</w:t>
      </w:r>
    </w:p>
    <w:p w14:paraId="75B7E3C8">
      <w:pPr>
        <w:numPr>
          <w:ilvl w:val="0"/>
          <w:numId w:val="16"/>
        </w:numPr>
        <w:ind w:left="0" w:firstLine="480"/>
        <w:rPr>
          <w:rFonts w:hint="eastAsia"/>
        </w:rPr>
      </w:pPr>
      <w:r>
        <w:rPr>
          <w:rFonts w:hint="eastAsia"/>
        </w:rPr>
        <w:t>行为</w:t>
      </w:r>
    </w:p>
    <w:p w14:paraId="75B7E3C9">
      <w:pPr>
        <w:ind w:firstLine="480"/>
        <w:rPr>
          <w:rFonts w:hint="eastAsia"/>
        </w:rPr>
      </w:pPr>
      <w:r>
        <w:rPr>
          <w:rFonts w:hint="eastAsia"/>
        </w:rPr>
        <w:t>客户服务人员的主要行为包括：</w:t>
      </w:r>
    </w:p>
    <w:p w14:paraId="75B7E3CA">
      <w:pPr>
        <w:ind w:firstLine="480"/>
        <w:rPr>
          <w:rFonts w:hint="eastAsia"/>
        </w:rPr>
      </w:pPr>
      <w:r>
        <w:rPr>
          <w:rFonts w:hint="eastAsia"/>
        </w:rPr>
        <w:t>1）</w:t>
      </w:r>
      <w:r>
        <w:rPr>
          <w:rFonts w:hint="eastAsia"/>
        </w:rPr>
        <w:tab/>
      </w:r>
      <w:r>
        <w:rPr>
          <w:rFonts w:hint="eastAsia"/>
        </w:rPr>
        <w:t>建立与维护客户评价体系，为用户交流提供主要的联系和客户服务。</w:t>
      </w:r>
    </w:p>
    <w:p w14:paraId="75B7E3CB">
      <w:pPr>
        <w:ind w:firstLine="480"/>
        <w:rPr>
          <w:rFonts w:hint="eastAsia"/>
        </w:rPr>
      </w:pPr>
      <w:r>
        <w:rPr>
          <w:rFonts w:hint="eastAsia"/>
        </w:rPr>
        <w:t>2）</w:t>
      </w:r>
      <w:r>
        <w:rPr>
          <w:rFonts w:hint="eastAsia"/>
        </w:rPr>
        <w:tab/>
      </w:r>
      <w:r>
        <w:rPr>
          <w:rFonts w:hint="eastAsia"/>
        </w:rPr>
        <w:t>使用高度自动化的工具和知识库系统提供有效的突发事件和问题解决方案。</w:t>
      </w:r>
    </w:p>
    <w:p w14:paraId="75B7E3CC">
      <w:pPr>
        <w:ind w:firstLine="480"/>
        <w:rPr>
          <w:rFonts w:hint="eastAsia"/>
        </w:rPr>
      </w:pPr>
      <w:r>
        <w:rPr>
          <w:rFonts w:hint="eastAsia"/>
        </w:rPr>
        <w:t>3）</w:t>
      </w:r>
      <w:r>
        <w:rPr>
          <w:rFonts w:hint="eastAsia"/>
        </w:rPr>
        <w:tab/>
      </w:r>
      <w:r>
        <w:rPr>
          <w:rFonts w:hint="eastAsia"/>
        </w:rPr>
        <w:t>对用户要求和日志事件做出迅速反应。</w:t>
      </w:r>
    </w:p>
    <w:p w14:paraId="75B7E3CD">
      <w:pPr>
        <w:ind w:firstLine="480"/>
        <w:rPr>
          <w:rFonts w:hint="eastAsia"/>
        </w:rPr>
      </w:pPr>
      <w:r>
        <w:rPr>
          <w:rFonts w:hint="eastAsia"/>
        </w:rPr>
        <w:t>4）</w:t>
      </w:r>
      <w:r>
        <w:rPr>
          <w:rFonts w:hint="eastAsia"/>
        </w:rPr>
        <w:tab/>
      </w:r>
      <w:r>
        <w:rPr>
          <w:rFonts w:hint="eastAsia"/>
        </w:rPr>
        <w:t>定期或不定期（当有重大事件发生时）向领导汇报客户满意度情况。</w:t>
      </w:r>
    </w:p>
    <w:p w14:paraId="75B7E3CE">
      <w:pPr>
        <w:ind w:firstLine="480"/>
        <w:rPr>
          <w:rFonts w:hint="eastAsia"/>
        </w:rPr>
      </w:pPr>
      <w:r>
        <w:rPr>
          <w:rFonts w:hint="eastAsia"/>
        </w:rPr>
        <w:t>5）</w:t>
      </w:r>
      <w:r>
        <w:rPr>
          <w:rFonts w:hint="eastAsia"/>
        </w:rPr>
        <w:tab/>
      </w:r>
      <w:r>
        <w:rPr>
          <w:rFonts w:hint="eastAsia"/>
        </w:rPr>
        <w:t>搜集客户的需求和意见，为开发/设计团队提供反馈。</w:t>
      </w:r>
    </w:p>
    <w:p w14:paraId="75B7E3CF">
      <w:pPr>
        <w:ind w:firstLine="480"/>
        <w:rPr>
          <w:rFonts w:hint="eastAsia"/>
        </w:rPr>
      </w:pPr>
      <w:r>
        <w:rPr>
          <w:rFonts w:hint="eastAsia"/>
        </w:rPr>
        <w:t>6）</w:t>
      </w:r>
      <w:r>
        <w:rPr>
          <w:rFonts w:hint="eastAsia"/>
        </w:rPr>
        <w:tab/>
      </w:r>
      <w:r>
        <w:rPr>
          <w:rFonts w:hint="eastAsia"/>
        </w:rPr>
        <w:t>维护服务平台。</w:t>
      </w:r>
    </w:p>
    <w:p w14:paraId="75B7E3D0">
      <w:pPr>
        <w:numPr>
          <w:ilvl w:val="0"/>
          <w:numId w:val="16"/>
        </w:numPr>
        <w:ind w:left="0" w:firstLine="480"/>
        <w:rPr>
          <w:rFonts w:hint="eastAsia"/>
        </w:rPr>
      </w:pPr>
      <w:r>
        <w:rPr>
          <w:rFonts w:hint="eastAsia"/>
        </w:rPr>
        <w:t>能力</w:t>
      </w:r>
    </w:p>
    <w:p w14:paraId="75B7E3D1">
      <w:pPr>
        <w:ind w:firstLine="480"/>
        <w:rPr>
          <w:rFonts w:hint="eastAsia"/>
        </w:rPr>
      </w:pPr>
      <w:r>
        <w:rPr>
          <w:rFonts w:hint="eastAsia"/>
        </w:rPr>
        <w:t>客户服务人员需要的主要技能包括：</w:t>
      </w:r>
    </w:p>
    <w:p w14:paraId="75B7E3D2">
      <w:pPr>
        <w:ind w:firstLine="480"/>
        <w:rPr>
          <w:rFonts w:hint="eastAsia"/>
        </w:rPr>
      </w:pPr>
      <w:r>
        <w:rPr>
          <w:rFonts w:hint="eastAsia"/>
        </w:rPr>
        <w:t>1）</w:t>
      </w:r>
      <w:r>
        <w:rPr>
          <w:rFonts w:hint="eastAsia"/>
        </w:rPr>
        <w:tab/>
      </w:r>
      <w:r>
        <w:rPr>
          <w:rFonts w:hint="eastAsia"/>
        </w:rPr>
        <w:t xml:space="preserve">良好的客户沟通能力。 </w:t>
      </w:r>
    </w:p>
    <w:p w14:paraId="75B7E3D3">
      <w:pPr>
        <w:ind w:firstLine="480"/>
        <w:rPr>
          <w:rFonts w:hint="eastAsia"/>
        </w:rPr>
      </w:pPr>
      <w:r>
        <w:rPr>
          <w:rFonts w:hint="eastAsia"/>
        </w:rPr>
        <w:t>2）</w:t>
      </w:r>
      <w:r>
        <w:rPr>
          <w:rFonts w:hint="eastAsia"/>
        </w:rPr>
        <w:tab/>
      </w:r>
      <w:r>
        <w:rPr>
          <w:rFonts w:hint="eastAsia"/>
        </w:rPr>
        <w:t>识别趋势问题的能力（例如，10个人在3小时内呼叫了同样的问题）。</w:t>
      </w:r>
    </w:p>
    <w:p w14:paraId="75B7E3D4">
      <w:pPr>
        <w:ind w:firstLine="480"/>
        <w:rPr>
          <w:rFonts w:hint="eastAsia"/>
        </w:rPr>
      </w:pPr>
      <w:r>
        <w:rPr>
          <w:rFonts w:hint="eastAsia"/>
        </w:rPr>
        <w:t>3）</w:t>
      </w:r>
      <w:r>
        <w:rPr>
          <w:rFonts w:hint="eastAsia"/>
        </w:rPr>
        <w:tab/>
      </w:r>
      <w:r>
        <w:rPr>
          <w:rFonts w:hint="eastAsia"/>
        </w:rPr>
        <w:t>了解并满足远程用户需要的能力。</w:t>
      </w:r>
    </w:p>
    <w:p w14:paraId="75B7E3D5">
      <w:pPr>
        <w:ind w:firstLine="480"/>
        <w:rPr>
          <w:rFonts w:hint="eastAsia"/>
        </w:rPr>
      </w:pPr>
      <w:r>
        <w:rPr>
          <w:rFonts w:hint="eastAsia"/>
        </w:rPr>
        <w:t>4）</w:t>
      </w:r>
      <w:r>
        <w:rPr>
          <w:rFonts w:hint="eastAsia"/>
        </w:rPr>
        <w:tab/>
      </w:r>
      <w:r>
        <w:rPr>
          <w:rFonts w:hint="eastAsia"/>
        </w:rPr>
        <w:t>执行/使用问题跟踪/呼叫跟踪系统的能力。</w:t>
      </w:r>
    </w:p>
    <w:p w14:paraId="75B7E3D6">
      <w:pPr>
        <w:ind w:firstLine="480"/>
        <w:rPr>
          <w:rFonts w:hint="eastAsia"/>
        </w:rPr>
      </w:pPr>
      <w:r>
        <w:rPr>
          <w:rFonts w:hint="eastAsia"/>
        </w:rPr>
        <w:t>5）</w:t>
      </w:r>
      <w:r>
        <w:rPr>
          <w:rFonts w:hint="eastAsia"/>
        </w:rPr>
        <w:tab/>
      </w:r>
      <w:r>
        <w:rPr>
          <w:rFonts w:hint="eastAsia"/>
        </w:rPr>
        <w:t>对业务和系统实现有深刻理解。</w:t>
      </w:r>
    </w:p>
    <w:p w14:paraId="75B7E3D7">
      <w:pPr>
        <w:pStyle w:val="5"/>
      </w:pPr>
      <w:bookmarkStart w:id="199" w:name="_Toc15586"/>
      <w:bookmarkStart w:id="200" w:name="_Toc26619"/>
      <w:r>
        <w:rPr>
          <w:rFonts w:hint="eastAsia"/>
        </w:rPr>
        <w:t>人员组织</w:t>
      </w:r>
      <w:bookmarkEnd w:id="199"/>
      <w:bookmarkEnd w:id="200"/>
    </w:p>
    <w:p w14:paraId="75B7E3D8">
      <w:pPr>
        <w:ind w:firstLine="480"/>
        <w:rPr>
          <w:rFonts w:hint="eastAsia"/>
        </w:rPr>
      </w:pPr>
      <w:r>
        <w:rPr>
          <w:rFonts w:hint="eastAsia"/>
          <w:lang w:val="en-US"/>
        </w:rPr>
        <w:t>中标单位组织</w:t>
      </w:r>
      <w:r>
        <w:rPr>
          <w:rFonts w:hint="eastAsia"/>
        </w:rPr>
        <w:t>技术服务团队，</w:t>
      </w:r>
      <w:r>
        <w:rPr>
          <w:rFonts w:hint="eastAsia"/>
          <w:lang w:val="en-US"/>
        </w:rPr>
        <w:t>至少配备一名人员具备信息化专业中、高级职称人员。技术服务团队向建设单位</w:t>
      </w:r>
      <w:r>
        <w:rPr>
          <w:rFonts w:hint="eastAsia"/>
        </w:rPr>
        <w:t>提供 7*24 小时技术服务，保障系统安全、稳定运行。</w:t>
      </w:r>
    </w:p>
    <w:p w14:paraId="75B7E3D9">
      <w:pPr>
        <w:ind w:firstLine="480"/>
        <w:rPr>
          <w:rFonts w:hint="eastAsia"/>
        </w:rPr>
      </w:pPr>
      <w:r>
        <w:rPr>
          <w:rFonts w:hint="eastAsia"/>
        </w:rPr>
        <w:t>维保期内，运维小组要定期对所建工程进行全面、仔细地组织检查，遇地震、暴风等不可抗拒的自然灾害后要随时组织检查，对出现的工程缺陷要登记清楚，分析原因，及时向业主上报缺陷数量、缺陷范围、缺陷责任及原因，并立即组织维修。维保期限内工程的维护，要在不影响正常使用的情况下进行，必要时采取可行的防护措施，各项缺陷的修复必须符合规范要求并取得</w:t>
      </w:r>
      <w:r>
        <w:rPr>
          <w:rFonts w:hint="eastAsia"/>
          <w:lang w:val="en-US"/>
        </w:rPr>
        <w:t>建设单位</w:t>
      </w:r>
      <w:r>
        <w:rPr>
          <w:rFonts w:hint="eastAsia"/>
        </w:rPr>
        <w:t xml:space="preserve">的认可。 </w:t>
      </w:r>
    </w:p>
    <w:p w14:paraId="75B7E3DA">
      <w:pPr>
        <w:pStyle w:val="5"/>
      </w:pPr>
      <w:bookmarkStart w:id="201" w:name="_Toc24371"/>
      <w:r>
        <w:rPr>
          <w:rFonts w:hint="eastAsia"/>
        </w:rPr>
        <w:t>服务管理规范要求</w:t>
      </w:r>
      <w:bookmarkEnd w:id="201"/>
    </w:p>
    <w:p w14:paraId="75B7E3DB">
      <w:pPr>
        <w:ind w:firstLine="480"/>
        <w:rPr>
          <w:rFonts w:hint="eastAsia"/>
        </w:rPr>
      </w:pPr>
      <w:r>
        <w:rPr>
          <w:rFonts w:hint="eastAsia"/>
        </w:rPr>
        <w:t>（1）行为规范</w:t>
      </w:r>
    </w:p>
    <w:p w14:paraId="75B7E3DC">
      <w:pPr>
        <w:ind w:firstLine="480"/>
        <w:rPr>
          <w:rFonts w:hint="eastAsia"/>
          <w:lang w:val="en-US"/>
        </w:rPr>
      </w:pPr>
      <w:r>
        <w:rPr>
          <w:rFonts w:hint="eastAsia"/>
          <w:lang w:val="en-US"/>
        </w:rPr>
        <w:t>1）遵守客户的各项规章制度，严格按照客户相应的规章制度办事。</w:t>
      </w:r>
    </w:p>
    <w:p w14:paraId="75B7E3DD">
      <w:pPr>
        <w:ind w:firstLine="480"/>
        <w:rPr>
          <w:rFonts w:hint="eastAsia"/>
          <w:lang w:val="en-US"/>
        </w:rPr>
      </w:pPr>
      <w:r>
        <w:rPr>
          <w:rFonts w:hint="eastAsia"/>
          <w:lang w:val="en-US"/>
        </w:rPr>
        <w:t>2）与客户运行维护体系其他部门和环节协同工作，密切配合，共同开展技术支持工作。</w:t>
      </w:r>
    </w:p>
    <w:p w14:paraId="75B7E3DE">
      <w:pPr>
        <w:ind w:firstLine="480"/>
        <w:rPr>
          <w:rFonts w:hint="eastAsia"/>
          <w:lang w:val="en-US"/>
        </w:rPr>
      </w:pPr>
      <w:r>
        <w:rPr>
          <w:rFonts w:hint="eastAsia"/>
          <w:lang w:val="en-US"/>
        </w:rPr>
        <w:t>3）出现疑难技术、业务问题和重大紧急情况时，及时向负责人报告。</w:t>
      </w:r>
    </w:p>
    <w:p w14:paraId="75B7E3E0">
      <w:pPr>
        <w:ind w:firstLine="480"/>
        <w:rPr>
          <w:rFonts w:hint="eastAsia"/>
        </w:rPr>
      </w:pPr>
      <w:r>
        <w:rPr>
          <w:rFonts w:hint="eastAsia"/>
          <w:lang w:val="en-US"/>
        </w:rPr>
        <w:t>遵守保密原则。对被支持单位的网络、主机、系统软件、应用软件等的密码、核心参数、业务数据等负有保密责任，不得随意复制和 传播。</w:t>
      </w:r>
    </w:p>
    <w:p w14:paraId="75B7E3E1">
      <w:pPr>
        <w:ind w:firstLine="480"/>
        <w:rPr>
          <w:rFonts w:hint="eastAsia"/>
        </w:rPr>
      </w:pPr>
      <w:r>
        <w:rPr>
          <w:rFonts w:hint="eastAsia"/>
        </w:rPr>
        <w:t>（2）服务支持规范</w:t>
      </w:r>
    </w:p>
    <w:p w14:paraId="75B7E3E2">
      <w:pPr>
        <w:ind w:firstLine="480"/>
        <w:rPr>
          <w:rFonts w:hint="eastAsia"/>
          <w:lang w:val="en-US"/>
        </w:rPr>
      </w:pPr>
      <w:r>
        <w:rPr>
          <w:rFonts w:hint="eastAsia"/>
          <w:lang w:val="en-US"/>
        </w:rPr>
        <w:t>服务人员要做到耐心、细心、热心地服务。工作要做到事事有记录、事事有反馈、重大问题及时汇报。严格遵守工作作息时间，严格按照服务工作流程操作。</w:t>
      </w:r>
    </w:p>
    <w:p w14:paraId="75B7E3E7">
      <w:pPr>
        <w:pStyle w:val="3"/>
        <w:rPr>
          <w:lang w:val="en-US"/>
        </w:rPr>
      </w:pPr>
      <w:bookmarkStart w:id="202" w:name="_Toc15185"/>
      <w:bookmarkStart w:id="203" w:name="_Toc23913"/>
      <w:r>
        <w:rPr>
          <w:rFonts w:hint="eastAsia"/>
          <w:lang w:val="en-US"/>
        </w:rPr>
        <w:t>落实信创要求的情况说明</w:t>
      </w:r>
      <w:bookmarkEnd w:id="202"/>
      <w:bookmarkEnd w:id="203"/>
    </w:p>
    <w:p w14:paraId="75B7E42A">
      <w:pPr>
        <w:ind w:firstLine="480"/>
        <w:rPr>
          <w:rFonts w:hint="eastAsia"/>
          <w:lang w:val="en-US"/>
        </w:rPr>
      </w:pPr>
      <w:bookmarkStart w:id="204" w:name="_Toc74512004_WPSOffice_Level1"/>
      <w:bookmarkStart w:id="205" w:name="_Toc1380824338_WPSOffice_Level1"/>
      <w:bookmarkStart w:id="206" w:name="_Toc878618816_WPSOffice_Level1"/>
      <w:bookmarkStart w:id="207" w:name="_Toc1776185394_WPSOffice_Level1"/>
      <w:r>
        <w:rPr>
          <w:rFonts w:hint="eastAsia"/>
          <w:lang w:val="en-US"/>
        </w:rPr>
        <w:t>本期项目基于现有技术积累和业务时效性要求，采用</w:t>
      </w:r>
      <w:r>
        <w:rPr>
          <w:rFonts w:hint="eastAsia"/>
          <w:lang w:val="en-US" w:eastAsia="zh-CN"/>
        </w:rPr>
        <w:t>微服务</w:t>
      </w:r>
      <w:r>
        <w:rPr>
          <w:rFonts w:hint="eastAsia"/>
          <w:lang w:val="en-US"/>
        </w:rPr>
        <w:t>技术架构。同时充分关注信息技术应用创新发展趋势，在系统设计中预留国产化适配接口，为未来平滑过渡到信创体系奠定基础。</w:t>
      </w:r>
    </w:p>
    <w:p w14:paraId="10C6455F">
      <w:pPr>
        <w:ind w:firstLine="480"/>
        <w:rPr>
          <w:rFonts w:hint="eastAsia"/>
          <w:lang w:val="en-US"/>
        </w:rPr>
      </w:pPr>
      <w:r>
        <w:rPr>
          <w:rFonts w:hint="eastAsia"/>
          <w:lang w:val="en-US"/>
        </w:rPr>
        <w:t>信创兼容性声明</w:t>
      </w:r>
      <w:r>
        <w:rPr>
          <w:rFonts w:hint="default"/>
          <w:lang w:val="en-US"/>
        </w:rPr>
        <w:t>：</w:t>
      </w:r>
    </w:p>
    <w:p w14:paraId="4321B8B0">
      <w:pPr>
        <w:ind w:firstLine="480"/>
        <w:rPr>
          <w:rFonts w:hint="eastAsia"/>
          <w:lang w:val="en-US"/>
        </w:rPr>
      </w:pPr>
      <w:r>
        <w:rPr>
          <w:rFonts w:hint="default"/>
          <w:lang w:val="en-US"/>
        </w:rPr>
        <w:t>系统设计遵循开放架构标准（包括但不限于HTTP/RESTful API、ONVIF协议等）</w:t>
      </w:r>
    </w:p>
    <w:p w14:paraId="252D077E">
      <w:pPr>
        <w:ind w:firstLine="480"/>
        <w:rPr>
          <w:rFonts w:hint="eastAsia"/>
          <w:lang w:val="en-US"/>
        </w:rPr>
      </w:pPr>
      <w:r>
        <w:rPr>
          <w:rFonts w:hint="default"/>
          <w:lang w:val="en-US"/>
        </w:rPr>
        <w:t>核心服务采用容器化部署（Docker/Kubernetes），具备跨平台运行能力</w:t>
      </w:r>
    </w:p>
    <w:p w14:paraId="763EEB20">
      <w:pPr>
        <w:ind w:firstLine="480"/>
        <w:rPr>
          <w:rFonts w:hint="eastAsia" w:eastAsia="仿宋_GB2312"/>
          <w:lang w:val="en-US" w:eastAsia="zh-CN"/>
        </w:rPr>
      </w:pPr>
      <w:r>
        <w:rPr>
          <w:rFonts w:hint="default"/>
          <w:lang w:val="en-US"/>
        </w:rPr>
        <w:t>数据存储采用开放格式，确保与国产数据库兼容</w:t>
      </w:r>
      <w:r>
        <w:rPr>
          <w:rFonts w:hint="eastAsia"/>
          <w:lang w:val="en-US" w:eastAsia="zh-CN"/>
        </w:rPr>
        <w:t>，</w:t>
      </w:r>
      <w:r>
        <w:rPr>
          <w:rFonts w:hint="default"/>
          <w:lang w:val="en-US"/>
        </w:rPr>
        <w:t>视频流处理符合国标GB/T 28181标准</w:t>
      </w:r>
      <w:r>
        <w:rPr>
          <w:rFonts w:hint="eastAsia"/>
          <w:lang w:val="en-US" w:eastAsia="zh-CN"/>
        </w:rPr>
        <w:t>。</w:t>
      </w:r>
    </w:p>
    <w:p w14:paraId="0364DBBF">
      <w:pPr>
        <w:ind w:firstLine="480"/>
        <w:rPr>
          <w:rFonts w:hint="eastAsia"/>
        </w:rPr>
      </w:pPr>
    </w:p>
    <w:p w14:paraId="75B7E42B">
      <w:pPr>
        <w:pStyle w:val="2"/>
        <w:rPr>
          <w:rFonts w:hint="eastAsia"/>
          <w:lang w:val="en-US"/>
        </w:rPr>
      </w:pPr>
      <w:bookmarkStart w:id="208" w:name="_Toc22040"/>
      <w:r>
        <w:rPr>
          <w:rFonts w:hint="eastAsia"/>
          <w:lang w:val="en-US"/>
        </w:rPr>
        <w:t>项目施工方案</w:t>
      </w:r>
      <w:bookmarkEnd w:id="208"/>
    </w:p>
    <w:p w14:paraId="75B7E42C">
      <w:pPr>
        <w:pStyle w:val="3"/>
        <w:rPr>
          <w:lang w:val="en-US"/>
        </w:rPr>
      </w:pPr>
      <w:bookmarkStart w:id="209" w:name="_Toc13880"/>
      <w:r>
        <w:rPr>
          <w:rFonts w:hint="eastAsia"/>
          <w:lang w:val="en-US"/>
        </w:rPr>
        <w:t>施工总体要求</w:t>
      </w:r>
      <w:bookmarkEnd w:id="209"/>
    </w:p>
    <w:p w14:paraId="75B7E42D">
      <w:pPr>
        <w:pStyle w:val="4"/>
        <w:rPr>
          <w:rFonts w:hint="eastAsia"/>
          <w:lang w:val="en-US"/>
        </w:rPr>
      </w:pPr>
      <w:bookmarkStart w:id="210" w:name="_Toc20422"/>
      <w:r>
        <w:rPr>
          <w:lang w:val="en-US"/>
        </w:rPr>
        <w:t>施工</w:t>
      </w:r>
      <w:r>
        <w:rPr>
          <w:rFonts w:hint="eastAsia"/>
          <w:lang w:val="en-US"/>
        </w:rPr>
        <w:t>总体</w:t>
      </w:r>
      <w:r>
        <w:rPr>
          <w:lang w:val="en-US"/>
        </w:rPr>
        <w:t>目标</w:t>
      </w:r>
      <w:bookmarkEnd w:id="210"/>
    </w:p>
    <w:p w14:paraId="75B7E42E">
      <w:pPr>
        <w:ind w:firstLine="480"/>
        <w:rPr>
          <w:rFonts w:hint="eastAsia"/>
        </w:rPr>
      </w:pPr>
      <w:r>
        <w:t>以构建岳阳市“空天地人”一体化森林防火智能管控体系为核心，高质量完成预警监测、通信指挥、队伍能力三大板块建设，实现火情精准预警、高效通信调度、智能宣教防控的全流程闭环管理，全面提升森林防火的精细化、智能化水平。</w:t>
      </w:r>
    </w:p>
    <w:p w14:paraId="75B7E42F">
      <w:pPr>
        <w:pStyle w:val="4"/>
        <w:rPr>
          <w:rFonts w:hint="eastAsia"/>
          <w:lang w:val="en-US"/>
        </w:rPr>
      </w:pPr>
      <w:bookmarkStart w:id="211" w:name="_Toc19457"/>
      <w:r>
        <w:rPr>
          <w:lang w:val="en-US"/>
        </w:rPr>
        <w:t>施工遵循标准与规范</w:t>
      </w:r>
      <w:bookmarkEnd w:id="211"/>
    </w:p>
    <w:p w14:paraId="75B7E430">
      <w:pPr>
        <w:ind w:firstLine="480"/>
        <w:rPr>
          <w:rFonts w:hint="eastAsia"/>
        </w:rPr>
      </w:pPr>
      <w:r>
        <w:t>国家及行业标准：严格遵循《森林防火视频监控系统技术规范》（LY/T 3293-2021）、《通信管道与光（电）缆敷设工程施工及验收规范》、《安全防范视频监控联网系统信息传输、交换、控制技术要求》(GB/T 28181-2016)等规范要求。</w:t>
      </w:r>
    </w:p>
    <w:p w14:paraId="75B7E431">
      <w:pPr>
        <w:ind w:firstLine="480"/>
        <w:rPr>
          <w:rFonts w:hint="eastAsia"/>
        </w:rPr>
      </w:pPr>
      <w:r>
        <w:t>项目专项规范：严格执行本项目设计方案中各类设备的技术参数、安装部署、功能测试等专项要求，确保施工与设计高度一致。</w:t>
      </w:r>
    </w:p>
    <w:p w14:paraId="75B7E45F">
      <w:pPr>
        <w:pStyle w:val="4"/>
        <w:rPr>
          <w:lang w:val="en-US"/>
        </w:rPr>
      </w:pPr>
      <w:bookmarkStart w:id="212" w:name="_Toc22668"/>
      <w:r>
        <w:rPr>
          <w:rFonts w:hint="eastAsia"/>
          <w:lang w:val="en-US"/>
        </w:rPr>
        <w:t>施工坐标系与精度要求</w:t>
      </w:r>
      <w:bookmarkEnd w:id="212"/>
    </w:p>
    <w:p w14:paraId="75B7E460">
      <w:pPr>
        <w:pStyle w:val="5"/>
        <w:rPr>
          <w:rFonts w:hint="eastAsia"/>
          <w:lang w:val="en-US"/>
        </w:rPr>
      </w:pPr>
      <w:r>
        <w:rPr>
          <w:rFonts w:hint="eastAsia"/>
          <w:lang w:val="en-US"/>
        </w:rPr>
        <w:t>施工坐标系</w:t>
      </w:r>
    </w:p>
    <w:p w14:paraId="75B7E461">
      <w:pPr>
        <w:ind w:firstLine="480"/>
        <w:rPr>
          <w:rFonts w:hint="eastAsia"/>
          <w:lang w:val="en-US"/>
        </w:rPr>
      </w:pPr>
      <w:r>
        <w:rPr>
          <w:lang w:val="en-US"/>
        </w:rPr>
        <w:t>本次森林防火体系建设</w:t>
      </w:r>
      <w:r>
        <w:rPr>
          <w:rFonts w:hint="eastAsia"/>
          <w:lang w:val="en-US"/>
        </w:rPr>
        <w:t>平面坐标</w:t>
      </w:r>
      <w:r>
        <w:rPr>
          <w:lang w:val="en-US"/>
        </w:rPr>
        <w:t>统一采用CGCS2000</w:t>
      </w:r>
      <w:r>
        <w:rPr>
          <w:rFonts w:hint="eastAsia"/>
          <w:lang w:val="en-US"/>
        </w:rPr>
        <w:t xml:space="preserve"> </w:t>
      </w:r>
      <w:r>
        <w:rPr>
          <w:lang w:val="en-US"/>
        </w:rPr>
        <w:t>国家大地坐标系，覆盖岳阳市全域经度范围；高程基准采用1985国家高程基准。</w:t>
      </w:r>
    </w:p>
    <w:p w14:paraId="75B7E462">
      <w:pPr>
        <w:ind w:firstLine="480"/>
        <w:rPr>
          <w:rFonts w:hint="eastAsia"/>
        </w:rPr>
      </w:pPr>
      <w:r>
        <w:t>所有施工点位（无人机机场、云台摄像机、通信基站、宣传杆等）的坐标数据需满足以下格式要求：</w:t>
      </w:r>
    </w:p>
    <w:p w14:paraId="75B7E463">
      <w:pPr>
        <w:ind w:firstLine="480"/>
        <w:rPr>
          <w:rFonts w:hint="eastAsia"/>
        </w:rPr>
      </w:pPr>
      <w:r>
        <w:t>平面坐标：经纬度格式保留6位小数（如东经113.401944°，北纬29.480001°）；</w:t>
      </w:r>
    </w:p>
    <w:p w14:paraId="75B7E465">
      <w:pPr>
        <w:pStyle w:val="5"/>
        <w:rPr>
          <w:rFonts w:hint="eastAsia"/>
          <w:lang w:val="en-US"/>
        </w:rPr>
      </w:pPr>
      <w:r>
        <w:rPr>
          <w:lang w:val="en-US"/>
        </w:rPr>
        <w:t>施工精度要求</w:t>
      </w:r>
    </w:p>
    <w:p w14:paraId="75B7E466">
      <w:pPr>
        <w:ind w:firstLine="480"/>
        <w:rPr>
          <w:rFonts w:hint="eastAsia"/>
        </w:rPr>
      </w:pPr>
      <w:r>
        <w:t>一、通用点位定位精度</w:t>
      </w:r>
    </w:p>
    <w:p w14:paraId="75B7E467">
      <w:pPr>
        <w:ind w:firstLine="480"/>
        <w:rPr>
          <w:rFonts w:hint="eastAsia"/>
        </w:rPr>
      </w:pPr>
      <w:r>
        <w:t>所有施工点位（无人机机场、云台摄像机、通信基站、宣传杆等）统一执行：</w:t>
      </w:r>
    </w:p>
    <w:p w14:paraId="75B7E468">
      <w:pPr>
        <w:ind w:firstLine="480"/>
        <w:rPr>
          <w:rFonts w:hint="eastAsia"/>
        </w:rPr>
      </w:pPr>
      <w:r>
        <w:t>点位平面坐标误差≤±0.5m</w:t>
      </w:r>
    </w:p>
    <w:p w14:paraId="75B7E469">
      <w:pPr>
        <w:ind w:firstLine="480"/>
        <w:rPr>
          <w:rFonts w:hint="eastAsia"/>
        </w:rPr>
      </w:pPr>
      <w:r>
        <w:t>二、立杆与基础安装精度</w:t>
      </w:r>
    </w:p>
    <w:tbl>
      <w:tblPr>
        <w:tblStyle w:val="38"/>
        <w:tblW w:w="7590" w:type="dxa"/>
        <w:tblInd w:w="39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529"/>
        <w:gridCol w:w="1760"/>
        <w:gridCol w:w="2301"/>
      </w:tblGrid>
      <w:tr w14:paraId="75B7E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0" w:hRule="atLeast"/>
          <w:tblHeader/>
        </w:trPr>
        <w:tc>
          <w:tcPr>
            <w:tcW w:w="3529" w:type="dxa"/>
            <w:tcMar>
              <w:top w:w="90" w:type="dxa"/>
              <w:left w:w="180" w:type="dxa"/>
              <w:bottom w:w="90" w:type="dxa"/>
              <w:right w:w="180" w:type="dxa"/>
            </w:tcMar>
            <w:vAlign w:val="center"/>
          </w:tcPr>
          <w:p w14:paraId="75B7E46A">
            <w:pPr>
              <w:ind w:firstLine="0" w:firstLineChars="0"/>
              <w:jc w:val="center"/>
              <w:rPr>
                <w:rFonts w:hint="eastAsia"/>
              </w:rPr>
            </w:pPr>
            <w:r>
              <w:rPr>
                <w:rFonts w:hint="eastAsia"/>
                <w:lang w:val="en-US"/>
              </w:rPr>
              <w:t>设备类型</w:t>
            </w:r>
          </w:p>
        </w:tc>
        <w:tc>
          <w:tcPr>
            <w:tcW w:w="0" w:type="auto"/>
            <w:tcMar>
              <w:top w:w="90" w:type="dxa"/>
              <w:left w:w="180" w:type="dxa"/>
              <w:bottom w:w="90" w:type="dxa"/>
              <w:right w:w="180" w:type="dxa"/>
            </w:tcMar>
            <w:vAlign w:val="center"/>
          </w:tcPr>
          <w:p w14:paraId="75B7E46B">
            <w:pPr>
              <w:ind w:firstLine="0" w:firstLineChars="0"/>
              <w:rPr>
                <w:rFonts w:hint="eastAsia"/>
              </w:rPr>
            </w:pPr>
            <w:r>
              <w:rPr>
                <w:rFonts w:hint="eastAsia"/>
                <w:lang w:val="en-US"/>
              </w:rPr>
              <w:t>立杆垂直度</w:t>
            </w:r>
          </w:p>
        </w:tc>
        <w:tc>
          <w:tcPr>
            <w:tcW w:w="0" w:type="auto"/>
            <w:tcMar>
              <w:top w:w="90" w:type="dxa"/>
              <w:left w:w="180" w:type="dxa"/>
              <w:bottom w:w="90" w:type="dxa"/>
              <w:right w:w="180" w:type="dxa"/>
            </w:tcMar>
            <w:vAlign w:val="center"/>
          </w:tcPr>
          <w:p w14:paraId="75B7E46C">
            <w:pPr>
              <w:ind w:firstLine="480"/>
              <w:rPr>
                <w:rFonts w:hint="eastAsia"/>
              </w:rPr>
            </w:pPr>
            <w:r>
              <w:rPr>
                <w:rFonts w:hint="eastAsia"/>
                <w:lang w:val="en-US"/>
              </w:rPr>
              <w:t>基础水平度</w:t>
            </w:r>
          </w:p>
        </w:tc>
      </w:tr>
      <w:tr w14:paraId="75B7E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 w:hRule="atLeast"/>
        </w:trPr>
        <w:tc>
          <w:tcPr>
            <w:tcW w:w="3529" w:type="dxa"/>
            <w:shd w:val="clear" w:color="auto" w:fill="FFFFFF"/>
            <w:tcMar>
              <w:top w:w="90" w:type="dxa"/>
              <w:left w:w="180" w:type="dxa"/>
              <w:bottom w:w="90" w:type="dxa"/>
              <w:right w:w="180" w:type="dxa"/>
            </w:tcMar>
            <w:vAlign w:val="center"/>
          </w:tcPr>
          <w:p w14:paraId="75B7E46E">
            <w:pPr>
              <w:ind w:firstLine="0" w:firstLineChars="0"/>
              <w:jc w:val="center"/>
              <w:rPr>
                <w:rFonts w:hint="eastAsia"/>
              </w:rPr>
            </w:pPr>
            <w:r>
              <w:rPr>
                <w:rFonts w:hint="eastAsia"/>
                <w:lang w:val="en-US" w:eastAsia="zh-CN"/>
              </w:rPr>
              <w:t>视频监控前端</w:t>
            </w:r>
            <w:r>
              <w:rPr>
                <w:rFonts w:hint="eastAsia"/>
                <w:lang w:val="en-US"/>
              </w:rPr>
              <w:t>杆塔</w:t>
            </w:r>
          </w:p>
        </w:tc>
        <w:tc>
          <w:tcPr>
            <w:tcW w:w="0" w:type="auto"/>
            <w:shd w:val="clear" w:color="auto" w:fill="FFFFFF"/>
            <w:tcMar>
              <w:top w:w="90" w:type="dxa"/>
              <w:left w:w="180" w:type="dxa"/>
              <w:bottom w:w="90" w:type="dxa"/>
              <w:right w:w="180" w:type="dxa"/>
            </w:tcMar>
            <w:vAlign w:val="center"/>
          </w:tcPr>
          <w:p w14:paraId="75B7E46F">
            <w:pPr>
              <w:ind w:firstLine="0" w:firstLineChars="0"/>
              <w:jc w:val="center"/>
              <w:rPr>
                <w:rFonts w:hint="eastAsia"/>
              </w:rPr>
            </w:pPr>
            <w:r>
              <w:rPr>
                <w:rFonts w:hint="eastAsia"/>
                <w:lang w:val="en-US"/>
              </w:rPr>
              <w:t>≤0.3%</w:t>
            </w:r>
          </w:p>
        </w:tc>
        <w:tc>
          <w:tcPr>
            <w:tcW w:w="0" w:type="auto"/>
            <w:shd w:val="clear" w:color="auto" w:fill="FFFFFF"/>
            <w:tcMar>
              <w:top w:w="90" w:type="dxa"/>
              <w:left w:w="180" w:type="dxa"/>
              <w:bottom w:w="90" w:type="dxa"/>
              <w:right w:w="180" w:type="dxa"/>
            </w:tcMar>
            <w:vAlign w:val="center"/>
          </w:tcPr>
          <w:p w14:paraId="75B7E470">
            <w:pPr>
              <w:ind w:firstLine="480"/>
              <w:rPr>
                <w:rFonts w:hint="eastAsia"/>
              </w:rPr>
            </w:pPr>
            <w:r>
              <w:rPr>
                <w:rFonts w:hint="eastAsia"/>
                <w:lang w:val="en-US"/>
              </w:rPr>
              <w:t>≤2mm/m</w:t>
            </w:r>
          </w:p>
        </w:tc>
      </w:tr>
      <w:tr w14:paraId="75B7E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 w:hRule="atLeast"/>
        </w:trPr>
        <w:tc>
          <w:tcPr>
            <w:tcW w:w="3529" w:type="dxa"/>
            <w:shd w:val="clear" w:color="auto" w:fill="FFFFFF"/>
            <w:tcMar>
              <w:top w:w="90" w:type="dxa"/>
              <w:left w:w="180" w:type="dxa"/>
              <w:bottom w:w="90" w:type="dxa"/>
              <w:right w:w="180" w:type="dxa"/>
            </w:tcMar>
            <w:vAlign w:val="center"/>
          </w:tcPr>
          <w:p w14:paraId="75B7E472">
            <w:pPr>
              <w:ind w:firstLine="0" w:firstLineChars="0"/>
              <w:jc w:val="center"/>
              <w:rPr>
                <w:rFonts w:hint="eastAsia"/>
              </w:rPr>
            </w:pPr>
            <w:r>
              <w:rPr>
                <w:rFonts w:hint="eastAsia"/>
                <w:lang w:val="en-US"/>
              </w:rPr>
              <w:t>森林防火语音宣传杆立杆</w:t>
            </w:r>
          </w:p>
        </w:tc>
        <w:tc>
          <w:tcPr>
            <w:tcW w:w="0" w:type="auto"/>
            <w:shd w:val="clear" w:color="auto" w:fill="FFFFFF"/>
            <w:tcMar>
              <w:top w:w="90" w:type="dxa"/>
              <w:left w:w="180" w:type="dxa"/>
              <w:bottom w:w="90" w:type="dxa"/>
              <w:right w:w="180" w:type="dxa"/>
            </w:tcMar>
            <w:vAlign w:val="center"/>
          </w:tcPr>
          <w:p w14:paraId="75B7E473">
            <w:pPr>
              <w:ind w:firstLine="0" w:firstLineChars="0"/>
              <w:jc w:val="center"/>
              <w:rPr>
                <w:rFonts w:hint="eastAsia"/>
              </w:rPr>
            </w:pPr>
            <w:r>
              <w:rPr>
                <w:rFonts w:hint="eastAsia"/>
                <w:lang w:val="en-US"/>
              </w:rPr>
              <w:t>≤0.3%</w:t>
            </w:r>
          </w:p>
        </w:tc>
        <w:tc>
          <w:tcPr>
            <w:tcW w:w="0" w:type="auto"/>
            <w:shd w:val="clear" w:color="auto" w:fill="FFFFFF"/>
            <w:tcMar>
              <w:top w:w="90" w:type="dxa"/>
              <w:left w:w="180" w:type="dxa"/>
              <w:bottom w:w="90" w:type="dxa"/>
              <w:right w:w="180" w:type="dxa"/>
            </w:tcMar>
            <w:vAlign w:val="center"/>
          </w:tcPr>
          <w:p w14:paraId="75B7E474">
            <w:pPr>
              <w:ind w:firstLine="480"/>
              <w:rPr>
                <w:rFonts w:hint="eastAsia"/>
              </w:rPr>
            </w:pPr>
            <w:r>
              <w:rPr>
                <w:rFonts w:hint="eastAsia"/>
                <w:lang w:val="en-US"/>
              </w:rPr>
              <w:t>≤2mm/m</w:t>
            </w:r>
          </w:p>
        </w:tc>
      </w:tr>
      <w:tr w14:paraId="75B7E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 w:hRule="atLeast"/>
        </w:trPr>
        <w:tc>
          <w:tcPr>
            <w:tcW w:w="3529" w:type="dxa"/>
            <w:shd w:val="clear" w:color="auto" w:fill="FFFFFF"/>
            <w:tcMar>
              <w:top w:w="90" w:type="dxa"/>
              <w:left w:w="180" w:type="dxa"/>
              <w:bottom w:w="90" w:type="dxa"/>
              <w:right w:w="180" w:type="dxa"/>
            </w:tcMar>
            <w:vAlign w:val="center"/>
          </w:tcPr>
          <w:p w14:paraId="75B7E47A">
            <w:pPr>
              <w:ind w:firstLine="0" w:firstLineChars="0"/>
              <w:jc w:val="center"/>
              <w:rPr>
                <w:rFonts w:hint="eastAsia"/>
              </w:rPr>
            </w:pPr>
            <w:r>
              <w:rPr>
                <w:rFonts w:hint="eastAsia"/>
                <w:lang w:val="en-US"/>
              </w:rPr>
              <w:t>无人机机场固定基座</w:t>
            </w:r>
          </w:p>
        </w:tc>
        <w:tc>
          <w:tcPr>
            <w:tcW w:w="0" w:type="auto"/>
            <w:shd w:val="clear" w:color="auto" w:fill="FFFFFF"/>
            <w:tcMar>
              <w:top w:w="90" w:type="dxa"/>
              <w:left w:w="180" w:type="dxa"/>
              <w:bottom w:w="90" w:type="dxa"/>
              <w:right w:w="180" w:type="dxa"/>
            </w:tcMar>
            <w:vAlign w:val="center"/>
          </w:tcPr>
          <w:p w14:paraId="75B7E47B">
            <w:pPr>
              <w:ind w:firstLine="0" w:firstLineChars="0"/>
              <w:jc w:val="center"/>
              <w:rPr>
                <w:rFonts w:hint="eastAsia"/>
              </w:rPr>
            </w:pPr>
            <w:r>
              <w:rPr>
                <w:rFonts w:hint="eastAsia"/>
                <w:lang w:val="en-US"/>
              </w:rPr>
              <w:t>-</w:t>
            </w:r>
          </w:p>
        </w:tc>
        <w:tc>
          <w:tcPr>
            <w:tcW w:w="0" w:type="auto"/>
            <w:shd w:val="clear" w:color="auto" w:fill="FFFFFF"/>
            <w:tcMar>
              <w:top w:w="90" w:type="dxa"/>
              <w:left w:w="180" w:type="dxa"/>
              <w:bottom w:w="90" w:type="dxa"/>
              <w:right w:w="180" w:type="dxa"/>
            </w:tcMar>
            <w:vAlign w:val="center"/>
          </w:tcPr>
          <w:p w14:paraId="75B7E47C">
            <w:pPr>
              <w:ind w:firstLine="480"/>
              <w:rPr>
                <w:rFonts w:hint="eastAsia"/>
              </w:rPr>
            </w:pPr>
            <w:r>
              <w:rPr>
                <w:rFonts w:hint="eastAsia"/>
                <w:lang w:val="en-US"/>
              </w:rPr>
              <w:t>≤2mm/m</w:t>
            </w:r>
          </w:p>
        </w:tc>
      </w:tr>
    </w:tbl>
    <w:p w14:paraId="75B7E47E">
      <w:pPr>
        <w:ind w:firstLine="480"/>
        <w:rPr>
          <w:rFonts w:hint="eastAsia"/>
        </w:rPr>
      </w:pPr>
      <w:r>
        <w:t>三、接地系统精度要求</w:t>
      </w:r>
    </w:p>
    <w:p w14:paraId="75B7E47F">
      <w:pPr>
        <w:ind w:firstLine="480"/>
        <w:rPr>
          <w:rFonts w:hint="eastAsia"/>
        </w:rPr>
      </w:pPr>
      <w:r>
        <w:t>全系统接地电阻合格率需达到100%，各类设备接地电阻阈值严格执行：</w:t>
      </w:r>
    </w:p>
    <w:p w14:paraId="75B7E480">
      <w:pPr>
        <w:ind w:firstLine="480"/>
        <w:rPr>
          <w:rFonts w:hint="eastAsia"/>
        </w:rPr>
      </w:pPr>
      <w:r>
        <w:t>无人机机场、视频监控设备、通信基站设备：接地电阻≤4Ω</w:t>
      </w:r>
    </w:p>
    <w:p w14:paraId="75B7E481">
      <w:pPr>
        <w:ind w:firstLine="480"/>
        <w:rPr>
          <w:rFonts w:hint="eastAsia"/>
        </w:rPr>
      </w:pPr>
      <w:r>
        <w:t>太阳能供电系统、防雷接地装置：接地电阻≤10Ω</w:t>
      </w:r>
    </w:p>
    <w:p w14:paraId="75B7E482">
      <w:pPr>
        <w:ind w:firstLine="480"/>
        <w:rPr>
          <w:rFonts w:hint="eastAsia"/>
        </w:rPr>
      </w:pPr>
      <w:r>
        <w:rPr>
          <w:rFonts w:hint="eastAsia"/>
          <w:lang w:val="en-US"/>
        </w:rPr>
        <w:t>四、</w:t>
      </w:r>
      <w:r>
        <w:t>精度保障强化措施</w:t>
      </w:r>
    </w:p>
    <w:p w14:paraId="75B7E483">
      <w:pPr>
        <w:ind w:firstLine="480"/>
        <w:rPr>
          <w:rFonts w:hint="eastAsia"/>
        </w:rPr>
      </w:pPr>
      <w:r>
        <w:t>测量设备校准：所有测量仪器（RTK接收机、电子水准仪、全站仪等）需经计量检定合格并在有效期内，测量前进行现场校准</w:t>
      </w:r>
    </w:p>
    <w:p w14:paraId="75B7E484">
      <w:pPr>
        <w:ind w:firstLine="480"/>
        <w:rPr>
          <w:rFonts w:hint="eastAsia"/>
        </w:rPr>
      </w:pPr>
      <w:r>
        <w:t>点位测量管控：普通点位采用RTK动态测量，核心点位采用RTK静态测量+多次复测取平均值，确保定位误差不超限</w:t>
      </w:r>
    </w:p>
    <w:p w14:paraId="75B7E485">
      <w:pPr>
        <w:ind w:firstLine="480"/>
        <w:rPr>
          <w:rFonts w:hint="eastAsia"/>
        </w:rPr>
      </w:pPr>
      <w:r>
        <w:rPr>
          <w:rFonts w:hint="eastAsia"/>
        </w:rPr>
        <w:t>杆塔</w:t>
      </w:r>
      <w:r>
        <w:t>安装管控：采用全站仪实时监测</w:t>
      </w:r>
      <w:r>
        <w:rPr>
          <w:rFonts w:hint="eastAsia"/>
        </w:rPr>
        <w:t>杆塔</w:t>
      </w:r>
      <w:r>
        <w:t>垂直度，安装过程中逐段调整；基础浇筑后用精密水平仪检测水平度，误差超出范围需重新找平</w:t>
      </w:r>
    </w:p>
    <w:p w14:paraId="75B7E486">
      <w:pPr>
        <w:ind w:firstLine="480"/>
        <w:rPr>
          <w:rFonts w:hint="eastAsia"/>
        </w:rPr>
      </w:pPr>
      <w:r>
        <w:t>接地施工管控：接地体采用热镀锌钢材，接地极埋深≥0.8m，回填土混合降阻剂夯实；施工后逐一使用接地电阻测试仪检测，不合格点位立即整改</w:t>
      </w:r>
    </w:p>
    <w:p w14:paraId="75B7E487">
      <w:pPr>
        <w:ind w:firstLine="480"/>
        <w:rPr>
          <w:rFonts w:hint="eastAsia"/>
        </w:rPr>
      </w:pPr>
      <w:r>
        <w:t>验收复核机制：所有施工完成后进行100%精度复核，形成精度检测报告，作为竣工验收的核心依据</w:t>
      </w:r>
    </w:p>
    <w:p w14:paraId="56E7B6BE">
      <w:pPr>
        <w:pStyle w:val="4"/>
        <w:rPr>
          <w:rFonts w:hint="eastAsia"/>
          <w:lang w:val="en-US"/>
        </w:rPr>
      </w:pPr>
      <w:bookmarkStart w:id="213" w:name="_Toc23397"/>
      <w:r>
        <w:rPr>
          <w:lang w:val="en-US"/>
        </w:rPr>
        <w:t>施工</w:t>
      </w:r>
      <w:r>
        <w:rPr>
          <w:rFonts w:hint="eastAsia"/>
          <w:lang w:val="en-US"/>
        </w:rPr>
        <w:t>相关</w:t>
      </w:r>
      <w:r>
        <w:rPr>
          <w:lang w:val="en-US"/>
        </w:rPr>
        <w:t>要求</w:t>
      </w:r>
      <w:bookmarkEnd w:id="213"/>
    </w:p>
    <w:p w14:paraId="3A180388">
      <w:pPr>
        <w:ind w:firstLine="480"/>
        <w:rPr>
          <w:rFonts w:hint="eastAsia"/>
        </w:rPr>
      </w:pPr>
      <w:r>
        <w:t>（一）预警监测系统施工要求</w:t>
      </w:r>
    </w:p>
    <w:p w14:paraId="7D35C232">
      <w:pPr>
        <w:ind w:firstLine="480"/>
        <w:rPr>
          <w:rFonts w:hint="eastAsia"/>
        </w:rPr>
      </w:pPr>
      <w:r>
        <w:t>1. 航空火情监测子系统</w:t>
      </w:r>
    </w:p>
    <w:p w14:paraId="6CEA865F">
      <w:pPr>
        <w:ind w:firstLine="480"/>
        <w:rPr>
          <w:rFonts w:hint="eastAsia"/>
        </w:rPr>
      </w:pPr>
      <w:r>
        <w:t>无人机机场施工</w:t>
      </w:r>
    </w:p>
    <w:p w14:paraId="2FCFE9F5">
      <w:pPr>
        <w:ind w:firstLine="480"/>
        <w:rPr>
          <w:rFonts w:hint="eastAsia"/>
        </w:rPr>
      </w:pPr>
      <w:r>
        <w:t>选址勘测：严格遵循环境要求（海拔≤4000m、气温-25℃~45℃、阵风≤8m/s等），通过卫星定位信号测试与航线飞行测试验证点位可行性，确保地面高度角20°范围内无明显信号遮挡。</w:t>
      </w:r>
    </w:p>
    <w:p w14:paraId="24CD006B">
      <w:pPr>
        <w:ind w:firstLine="480"/>
        <w:rPr>
          <w:rFonts w:hint="eastAsia"/>
        </w:rPr>
      </w:pPr>
      <w:r>
        <w:t>安装施工：按规范完成混凝土底座、钢架底座或地面固定，确保机场水平稳定；完成电源、网络布线，电源需提供不低于3小时备电服务，网络满足4G/5G拨号或有线直连要求；安装后进行无人机起降测试，验证自动起降、充电、数据传输等功能。</w:t>
      </w:r>
    </w:p>
    <w:p w14:paraId="6CD37AD6">
      <w:pPr>
        <w:ind w:firstLine="480"/>
        <w:rPr>
          <w:rFonts w:hint="eastAsia"/>
        </w:rPr>
      </w:pPr>
      <w:r>
        <w:t>无人机设备部署：完成无人机与机场的配对调试，配置巡检航线与任务参数；测试无人机的实时视频传输、AI火情识别、自动返航等功能，确保在复杂林区环境下稳定运行。</w:t>
      </w:r>
    </w:p>
    <w:p w14:paraId="6DD53085">
      <w:pPr>
        <w:ind w:firstLine="480"/>
        <w:rPr>
          <w:rFonts w:hint="eastAsia"/>
        </w:rPr>
      </w:pPr>
      <w:r>
        <w:t>2. 地面火情监测子系统</w:t>
      </w:r>
    </w:p>
    <w:p w14:paraId="22182819">
      <w:pPr>
        <w:ind w:firstLine="480"/>
        <w:rPr>
          <w:rFonts w:hint="eastAsia"/>
        </w:rPr>
      </w:pPr>
      <w:r>
        <w:t>一体化云台摄像机施工</w:t>
      </w:r>
    </w:p>
    <w:p w14:paraId="1BE14B2C">
      <w:pPr>
        <w:ind w:firstLine="480"/>
        <w:rPr>
          <w:rFonts w:hint="eastAsia"/>
        </w:rPr>
      </w:pPr>
      <w:r>
        <w:t>点位选址：遵循错位补盲、优选高点等原则，选择林区制高点杆塔安装，确保</w:t>
      </w:r>
      <w:r>
        <w:rPr>
          <w:rFonts w:hint="eastAsia"/>
          <w:lang w:val="en-US"/>
        </w:rPr>
        <w:t>17套一</w:t>
      </w:r>
      <w:r>
        <w:t>体化云台摄像机单点覆盖范围符合3KM或5KM半径要求；点位需具备稳定供电，提供不低于3小时备电服务。</w:t>
      </w:r>
    </w:p>
    <w:p w14:paraId="6644E9BE">
      <w:pPr>
        <w:ind w:firstLine="480"/>
        <w:rPr>
          <w:rFonts w:hint="eastAsia"/>
        </w:rPr>
      </w:pPr>
      <w:r>
        <w:t>安装调试：杆塔高度不低于25米，采用角钢塔、三管塔或单管塔，按规范完成塔身</w:t>
      </w:r>
      <w:r>
        <w:rPr>
          <w:rFonts w:hint="eastAsia"/>
          <w:lang w:val="en-US" w:eastAsia="zh-CN"/>
        </w:rPr>
        <w:t>摄像机</w:t>
      </w:r>
      <w:r>
        <w:t>安装；完成摄像机的云台调试、焦距校准，测试热成像、可见光拍摄功能；将视频信号接入监控平台，验证实时预览、录像存储、云台控制等功能。</w:t>
      </w:r>
    </w:p>
    <w:p w14:paraId="27032D80">
      <w:pPr>
        <w:ind w:firstLine="480"/>
        <w:rPr>
          <w:rFonts w:hint="eastAsia"/>
        </w:rPr>
      </w:pPr>
      <w:r>
        <w:t>林火视频监控系统前端施工：完成9套5公里热成像双光谱摄像机及2</w:t>
      </w:r>
      <w:r>
        <w:rPr>
          <w:rFonts w:hint="eastAsia"/>
          <w:lang w:val="en-US" w:eastAsia="zh-CN"/>
        </w:rPr>
        <w:t>0</w:t>
      </w:r>
      <w:r>
        <w:t>米单管塔建设，严格执行防雷、供电、布线规范，确保系统稳定运行。</w:t>
      </w:r>
    </w:p>
    <w:p w14:paraId="7395E6F4">
      <w:pPr>
        <w:ind w:firstLine="480"/>
        <w:rPr>
          <w:rFonts w:hint="eastAsia"/>
        </w:rPr>
      </w:pPr>
      <w:r>
        <w:t>数据接入整合：完成268处存量高位监控、</w:t>
      </w:r>
      <w:r>
        <w:rPr>
          <w:rFonts w:hint="eastAsia"/>
        </w:rPr>
        <w:t>无人机机场、一体化云台</w:t>
      </w:r>
      <w:r>
        <w:t>等数据接入，实现与新建系统的互联互通，在平台上统一展示与管理。</w:t>
      </w:r>
    </w:p>
    <w:p w14:paraId="63E9594C">
      <w:pPr>
        <w:ind w:firstLine="480"/>
        <w:rPr>
          <w:rFonts w:hint="eastAsia"/>
        </w:rPr>
      </w:pPr>
      <w:r>
        <w:t>3. 监测调度子系统施工</w:t>
      </w:r>
    </w:p>
    <w:p w14:paraId="27D5A29E">
      <w:pPr>
        <w:ind w:firstLine="480"/>
        <w:rPr>
          <w:rFonts w:hint="eastAsia"/>
        </w:rPr>
      </w:pPr>
      <w:r>
        <w:t>硬件部署：完成存储服务器、LED显示屏、云多点控制单元(MCU）等设备的安装调试，确保硬件性能满足系统需求。</w:t>
      </w:r>
    </w:p>
    <w:p w14:paraId="43BC62BE">
      <w:pPr>
        <w:ind w:firstLine="480"/>
        <w:rPr>
          <w:rFonts w:hint="eastAsia"/>
        </w:rPr>
      </w:pPr>
      <w:r>
        <w:t>平台软件部署：完成森林防火调度中心综合调度系统的云租赁部署，实现视频监控、监测预警、火情处理、指挥调度等全功能模块的调试；完成与前端设备、通信系统的对接，验证数据流转与功能联动。</w:t>
      </w:r>
    </w:p>
    <w:p w14:paraId="2452677D">
      <w:pPr>
        <w:ind w:firstLine="480"/>
        <w:rPr>
          <w:rFonts w:hint="eastAsia"/>
        </w:rPr>
      </w:pPr>
      <w:r>
        <w:t>功能测试：对平台的实时监控、告警处理、指挥调度、统计分析等功能进行全面测试，确保各项功能稳定运行，满足业务需求。</w:t>
      </w:r>
    </w:p>
    <w:p w14:paraId="434F4A4E">
      <w:pPr>
        <w:ind w:firstLine="480"/>
        <w:rPr>
          <w:rFonts w:hint="eastAsia"/>
        </w:rPr>
      </w:pPr>
      <w:r>
        <w:t>（二）森林防火通信系统施工要求</w:t>
      </w:r>
    </w:p>
    <w:p w14:paraId="2490293A">
      <w:pPr>
        <w:ind w:firstLine="480"/>
        <w:rPr>
          <w:rFonts w:hint="eastAsia"/>
        </w:rPr>
      </w:pPr>
      <w:r>
        <w:t>1. 语音自组网系统施工</w:t>
      </w:r>
    </w:p>
    <w:p w14:paraId="2128C9DE">
      <w:pPr>
        <w:ind w:firstLine="480"/>
        <w:rPr>
          <w:rFonts w:hint="eastAsia"/>
        </w:rPr>
      </w:pPr>
      <w:r>
        <w:t>固定基站施工</w:t>
      </w:r>
    </w:p>
    <w:p w14:paraId="5CBDE67F">
      <w:pPr>
        <w:ind w:firstLine="480"/>
        <w:rPr>
          <w:rFonts w:hint="eastAsia"/>
        </w:rPr>
      </w:pPr>
      <w:r>
        <w:t>站点选址：优先选择林区已建通信铁塔制高点，确保信号覆盖范围最大化；按选址表完成5套固定基站的点位部署。</w:t>
      </w:r>
    </w:p>
    <w:p w14:paraId="04ACF9BF">
      <w:pPr>
        <w:ind w:firstLine="480"/>
        <w:rPr>
          <w:rFonts w:hint="eastAsia"/>
        </w:rPr>
      </w:pPr>
      <w:r>
        <w:t>安装调试：基站设备采用机架式安装，确保通风防水，馈线做好防水处理；完成系统调试，测试语音通信、短信、数据传输功能，验证多跳组网与网络自愈能力。</w:t>
      </w:r>
    </w:p>
    <w:p w14:paraId="6A29C35C">
      <w:pPr>
        <w:ind w:firstLine="480"/>
        <w:rPr>
          <w:rFonts w:hint="eastAsia"/>
        </w:rPr>
      </w:pPr>
      <w:r>
        <w:t>移动基站与终端部署：完成车载台、背负台、手持台等设备的安装调试，测试自组网功能，确保在应急场景下快速组网通信。</w:t>
      </w:r>
    </w:p>
    <w:p w14:paraId="36F14B6B">
      <w:pPr>
        <w:ind w:firstLine="480"/>
        <w:rPr>
          <w:rFonts w:hint="eastAsia"/>
        </w:rPr>
      </w:pPr>
      <w:r>
        <w:t>调度与网管平台部署：完成调度服务器、融合调度软件、网管软件的安装配置，实现对全系统的统一调度与管理；测试终端上下线登记、定位调度、全网录音等功能，确保平台稳定运行。</w:t>
      </w:r>
    </w:p>
    <w:p w14:paraId="73C170D5">
      <w:pPr>
        <w:ind w:firstLine="480"/>
        <w:rPr>
          <w:rFonts w:hint="eastAsia"/>
        </w:rPr>
      </w:pPr>
      <w:r>
        <w:t>2. 系统优化与测试</w:t>
      </w:r>
    </w:p>
    <w:p w14:paraId="5A2576BD">
      <w:pPr>
        <w:ind w:firstLine="480"/>
        <w:rPr>
          <w:rFonts w:hint="eastAsia"/>
        </w:rPr>
      </w:pPr>
      <w:r>
        <w:t>对通信系统进行全面功能测试，包括语音通讯、短消息、紧急呼叫、优先呼叫等核心功能；测试网络自愈能力、信号覆盖范围、通话质量等性能指标。</w:t>
      </w:r>
    </w:p>
    <w:p w14:paraId="4C345D2D">
      <w:pPr>
        <w:ind w:firstLine="480"/>
        <w:rPr>
          <w:rFonts w:hint="eastAsia"/>
        </w:rPr>
      </w:pPr>
      <w:r>
        <w:t>根据测试结果优化系统参数，调整基站功率、频率，确保系统无干扰，通信稳定可靠。</w:t>
      </w:r>
    </w:p>
    <w:p w14:paraId="3FBA955F">
      <w:pPr>
        <w:ind w:firstLine="480"/>
        <w:rPr>
          <w:rFonts w:hint="eastAsia"/>
        </w:rPr>
      </w:pPr>
      <w:r>
        <w:t>（三）森林消防队伍能力建设施工要求</w:t>
      </w:r>
    </w:p>
    <w:p w14:paraId="68D52A33">
      <w:pPr>
        <w:ind w:firstLine="480"/>
        <w:rPr>
          <w:rFonts w:hint="eastAsia"/>
        </w:rPr>
      </w:pPr>
      <w:r>
        <w:t>1. 森林防火视频监控语音宣传杆施工</w:t>
      </w:r>
    </w:p>
    <w:p w14:paraId="67261C34">
      <w:pPr>
        <w:ind w:firstLine="480"/>
        <w:rPr>
          <w:rFonts w:hint="eastAsia"/>
        </w:rPr>
      </w:pPr>
      <w:r>
        <w:t>设备选型与验收：严格按照技术参数标准选型，确保设备具备人体红外感应、语音宣传、视频监控、太阳能供电等功能，防护等级≥IP67；进场时按10%比例抽检，核验资料与设备性能，不合格设备严禁进场。</w:t>
      </w:r>
    </w:p>
    <w:p w14:paraId="633DD96F">
      <w:pPr>
        <w:ind w:firstLine="480"/>
        <w:rPr>
          <w:rFonts w:hint="eastAsia"/>
        </w:rPr>
      </w:pPr>
      <w:r>
        <w:t>点位布局与安装：按“重点林区入口+防火通道沿线+村庄周边”三圈层布局，完成529套设备部署；采用立杆式安装，确保安装稳固，太阳能板朝南倾斜30°，光照时间≥6小时/天。</w:t>
      </w:r>
    </w:p>
    <w:p w14:paraId="502AF443">
      <w:pPr>
        <w:ind w:firstLine="480"/>
        <w:rPr>
          <w:rFonts w:hint="eastAsia"/>
        </w:rPr>
      </w:pPr>
      <w:r>
        <w:t>功能调试与安全固化：完成设备感应触发、语音播报、视频录制、网络传输等功能调试；严格执行存储卡“物理+逻辑”双重安全固化流程，确保数据安全。</w:t>
      </w:r>
    </w:p>
    <w:p w14:paraId="1692024B">
      <w:pPr>
        <w:ind w:firstLine="480"/>
        <w:rPr>
          <w:rFonts w:hint="eastAsia"/>
        </w:rPr>
      </w:pPr>
      <w:r>
        <w:t>2. 智慧化融合调试</w:t>
      </w:r>
    </w:p>
    <w:p w14:paraId="4964450C">
      <w:pPr>
        <w:ind w:firstLine="480"/>
        <w:rPr>
          <w:rFonts w:hint="eastAsia"/>
        </w:rPr>
      </w:pPr>
      <w:r>
        <w:t>完成宣传杆与智慧预警系统平台的对接，验证远程控制、状态监测、内容更新等功能；测试与防火码系统、巡护APP的联动，实现场景化播控与精准宣教。</w:t>
      </w:r>
    </w:p>
    <w:p w14:paraId="4F35E15B">
      <w:pPr>
        <w:ind w:firstLine="480"/>
        <w:rPr>
          <w:rFonts w:hint="eastAsia"/>
        </w:rPr>
      </w:pPr>
      <w:r>
        <w:t>五、施工安全与质量管理</w:t>
      </w:r>
    </w:p>
    <w:p w14:paraId="3EC7FA84">
      <w:pPr>
        <w:ind w:firstLine="480"/>
        <w:rPr>
          <w:rFonts w:hint="eastAsia"/>
        </w:rPr>
      </w:pPr>
      <w:r>
        <w:t>施工安全管理：制定完善的安全施工方案，做好高空作业、电气作业、林区施工等安全防护措施；对施工人员进行安全培训，配备必要的安全防护设备，确保施工过程零事故。</w:t>
      </w:r>
    </w:p>
    <w:p w14:paraId="3E630B89">
      <w:pPr>
        <w:ind w:firstLine="480"/>
        <w:rPr>
          <w:rFonts w:hint="eastAsia"/>
        </w:rPr>
      </w:pPr>
      <w:r>
        <w:t>施工质量管理：建立质量管理体系，严格把控设备进场、安装调试、功能测试等各环节质量；实行施工过程旁站监督与验收制度，每道工序验收合格后方可进入下一道工序，确保工程质量达标。</w:t>
      </w:r>
    </w:p>
    <w:p w14:paraId="3FB974AD">
      <w:pPr>
        <w:ind w:firstLine="480"/>
        <w:rPr>
          <w:rFonts w:hint="eastAsia"/>
        </w:rPr>
      </w:pPr>
      <w:r>
        <w:t>六、验收与交付要求</w:t>
      </w:r>
    </w:p>
    <w:p w14:paraId="5374DEA6">
      <w:pPr>
        <w:ind w:firstLine="480"/>
        <w:rPr>
          <w:rFonts w:hint="eastAsia"/>
        </w:rPr>
      </w:pPr>
      <w:r>
        <w:t>分项验收：各板块施工完成后，分别进行分项验收，验收内容包括设备安装质量、功能性能、数据对接等，确保符合设计要求。</w:t>
      </w:r>
    </w:p>
    <w:p w14:paraId="4F1B1E6B">
      <w:pPr>
        <w:ind w:firstLine="480"/>
        <w:rPr>
          <w:rFonts w:hint="eastAsia"/>
        </w:rPr>
      </w:pPr>
      <w:r>
        <w:t>整体验收：完成所有施工内容后，进行整体项目验收，验证系统的整体性、联动性与稳定性，提交完整的验收资料与竣工报告。</w:t>
      </w:r>
    </w:p>
    <w:p w14:paraId="0048A77D">
      <w:pPr>
        <w:ind w:firstLine="480"/>
        <w:rPr>
          <w:rFonts w:hint="eastAsia"/>
        </w:rPr>
      </w:pPr>
      <w:r>
        <w:t>交付培训：对使用人员进行系统操作培训，提供详细的操作手册与运维手册，确保用户能够熟练使用与维护系统。</w:t>
      </w:r>
    </w:p>
    <w:p w14:paraId="6F6F84E9">
      <w:pPr>
        <w:ind w:firstLine="480"/>
        <w:rPr>
          <w:rFonts w:hint="eastAsia"/>
          <w:lang w:val="en-US"/>
        </w:rPr>
      </w:pPr>
      <w:r>
        <w:t>售后保障：建立完善的售后服务体系，提供设备保修、系统维护、技术支持等服务，确保系统长期稳定运行。</w:t>
      </w:r>
    </w:p>
    <w:p w14:paraId="75B7E488">
      <w:pPr>
        <w:pStyle w:val="3"/>
        <w:rPr>
          <w:lang w:val="en-US"/>
        </w:rPr>
      </w:pPr>
      <w:bookmarkStart w:id="214" w:name="_Toc5344"/>
      <w:r>
        <w:rPr>
          <w:rFonts w:hint="eastAsia"/>
          <w:lang w:val="en-US"/>
        </w:rPr>
        <w:t>点位施工</w:t>
      </w:r>
      <w:bookmarkEnd w:id="214"/>
    </w:p>
    <w:p w14:paraId="75B7E489">
      <w:pPr>
        <w:pStyle w:val="4"/>
        <w:rPr>
          <w:rFonts w:hint="eastAsia"/>
          <w:lang w:val="en-US"/>
        </w:rPr>
      </w:pPr>
      <w:bookmarkStart w:id="215" w:name="_Toc12297"/>
      <w:r>
        <w:rPr>
          <w:rFonts w:hint="eastAsia"/>
          <w:lang w:val="en-US"/>
        </w:rPr>
        <w:t>无人机场（34套）</w:t>
      </w:r>
      <w:bookmarkEnd w:id="215"/>
    </w:p>
    <w:p w14:paraId="75B7E48A">
      <w:pPr>
        <w:ind w:firstLine="480"/>
        <w:rPr>
          <w:rFonts w:hint="eastAsia"/>
        </w:rPr>
      </w:pPr>
      <w:r>
        <w:t>一、核心布局原则</w:t>
      </w:r>
    </w:p>
    <w:p w14:paraId="75B7E48B">
      <w:pPr>
        <w:ind w:firstLine="480"/>
        <w:rPr>
          <w:rFonts w:hint="eastAsia"/>
        </w:rPr>
      </w:pPr>
      <w:r>
        <w:t xml:space="preserve">1. </w:t>
      </w:r>
      <w:r>
        <w:rPr>
          <w:rFonts w:hint="eastAsia"/>
        </w:rPr>
        <w:t>重点</w:t>
      </w:r>
      <w:r>
        <w:t>覆盖与盲区填补原则</w:t>
      </w:r>
    </w:p>
    <w:p w14:paraId="75B7E48D">
      <w:pPr>
        <w:ind w:firstLine="480"/>
        <w:rPr>
          <w:rFonts w:hint="eastAsia"/>
        </w:rPr>
      </w:pPr>
      <w:r>
        <w:t>重点林区：针对平江县幕阜山、芦头林场、汨罗市桃林林场等重点林区，增加机场部署密度（如平江县部署7套、芦头林场部署4套），强化重点区域监控能力</w:t>
      </w:r>
    </w:p>
    <w:p w14:paraId="75B7E48E">
      <w:pPr>
        <w:ind w:firstLine="480"/>
        <w:rPr>
          <w:rFonts w:hint="eastAsia"/>
        </w:rPr>
      </w:pPr>
      <w:r>
        <w:t>地形盲区适配：在山区、陡坡等地面监控难以覆盖的区域（如平江县龙门镇水平、岳阳县毛田镇大云山）部署机场，利用无人机垂直起降和灵活飞行的优势，填补地形盲区</w:t>
      </w:r>
    </w:p>
    <w:p w14:paraId="75B7E48F">
      <w:pPr>
        <w:ind w:firstLine="480"/>
        <w:rPr>
          <w:rFonts w:hint="eastAsia"/>
        </w:rPr>
      </w:pPr>
      <w:r>
        <w:t>2. 高位监控联动原则</w:t>
      </w:r>
    </w:p>
    <w:p w14:paraId="75B7E490">
      <w:pPr>
        <w:ind w:firstLine="480"/>
        <w:rPr>
          <w:rFonts w:hint="eastAsia"/>
        </w:rPr>
      </w:pPr>
      <w:r>
        <w:t>高位监控协作：机场选址优先靠近高位监控点位，实现“高位监控大范围扫盲-无人机精细核实补盲”的联动机制，提升火情发现准确率</w:t>
      </w:r>
    </w:p>
    <w:p w14:paraId="75B7E491">
      <w:pPr>
        <w:ind w:firstLine="480"/>
        <w:rPr>
          <w:rFonts w:hint="eastAsia"/>
        </w:rPr>
      </w:pPr>
      <w:r>
        <w:t>应急响应协同：在“三断”（断路、断电、断网）等紧急情况下，无人机可独立开展监测任务，与高位监控形成互补，确保应急通信与监测不中断</w:t>
      </w:r>
    </w:p>
    <w:p w14:paraId="75B7E492">
      <w:pPr>
        <w:ind w:firstLine="480"/>
        <w:rPr>
          <w:rFonts w:hint="eastAsia"/>
        </w:rPr>
      </w:pPr>
      <w:r>
        <w:t>数据互通共享：机场部署需与森林防火调度中心综合调度系统对接，实现无人机监测数据与其他系统的互联互通，提升指挥决策效率</w:t>
      </w:r>
    </w:p>
    <w:p w14:paraId="75B7E493">
      <w:pPr>
        <w:ind w:firstLine="480"/>
        <w:rPr>
          <w:rFonts w:hint="eastAsia"/>
        </w:rPr>
      </w:pPr>
      <w:r>
        <w:t>3. 资源复用与成本优化原则</w:t>
      </w:r>
    </w:p>
    <w:p w14:paraId="75B7E494">
      <w:pPr>
        <w:ind w:firstLine="480"/>
        <w:rPr>
          <w:rFonts w:hint="eastAsia"/>
        </w:rPr>
      </w:pPr>
      <w:r>
        <w:t>依托现有设施：优先选择靠近已有供电、网络资源的点位（如岳阳楼区市委党校、临湘市五尖山），减少基础设施建设成本</w:t>
      </w:r>
    </w:p>
    <w:p w14:paraId="75B7E495">
      <w:pPr>
        <w:ind w:firstLine="480"/>
        <w:rPr>
          <w:rFonts w:hint="eastAsia"/>
        </w:rPr>
      </w:pPr>
      <w:r>
        <w:t>利用制高点地形：选择地形制高点部署机场（如平江县幕阜山一峰尖、岳阳县大峰山），提升无人机起飞后的视野范围和监测覆盖半径</w:t>
      </w:r>
    </w:p>
    <w:p w14:paraId="75B7E496">
      <w:pPr>
        <w:ind w:firstLine="480"/>
        <w:rPr>
          <w:rFonts w:hint="eastAsia"/>
        </w:rPr>
      </w:pPr>
      <w:r>
        <w:t>共享基础设施：与超短波通信基站、森林防火视频监控系统共享杆塔、供电等基础设施，避免重复建设</w:t>
      </w:r>
    </w:p>
    <w:p w14:paraId="75B7E497">
      <w:pPr>
        <w:ind w:firstLine="480"/>
        <w:rPr>
          <w:rFonts w:hint="eastAsia"/>
        </w:rPr>
      </w:pPr>
      <w:r>
        <w:t>二、点位布局要求</w:t>
      </w:r>
    </w:p>
    <w:p w14:paraId="75B7E498">
      <w:pPr>
        <w:ind w:firstLine="480"/>
        <w:rPr>
          <w:rFonts w:hint="eastAsia"/>
        </w:rPr>
      </w:pPr>
      <w:r>
        <w:t>1. 选址勘测要求</w:t>
      </w:r>
    </w:p>
    <w:p w14:paraId="75B7E499">
      <w:pPr>
        <w:ind w:firstLine="480"/>
        <w:rPr>
          <w:rFonts w:hint="eastAsia"/>
        </w:rPr>
      </w:pPr>
      <w:r>
        <w:t>现场环境评估：每点位需进行现场勘查，确认地形、风速、温度、降水等气象环境符合无人机起降要求（起降抗风能力4级、工作温度-20℃~55℃）</w:t>
      </w:r>
    </w:p>
    <w:p w14:paraId="75B7E49A">
      <w:pPr>
        <w:ind w:firstLine="480"/>
        <w:rPr>
          <w:rFonts w:hint="eastAsia"/>
        </w:rPr>
      </w:pPr>
      <w:r>
        <w:t>信号覆盖测试：确保点位具备稳定的4G/5G网络覆盖，满足无人机数据传输需求；若采用有线直连，需确保网络带宽≥</w:t>
      </w:r>
      <w:r>
        <w:rPr>
          <w:rFonts w:hint="eastAsia"/>
        </w:rPr>
        <w:t>20</w:t>
      </w:r>
      <w:r>
        <w:t>Mbps</w:t>
      </w:r>
    </w:p>
    <w:p w14:paraId="75B7E49B">
      <w:pPr>
        <w:ind w:firstLine="480"/>
        <w:rPr>
          <w:rFonts w:hint="eastAsia"/>
        </w:rPr>
      </w:pPr>
      <w:r>
        <w:t>起降场地要求：选择地势平坦、不易积水的区域作为起降场地，确保地面高度角30°~90°范围内无高大建筑或障碍物遮挡</w:t>
      </w:r>
    </w:p>
    <w:p w14:paraId="75B7E49C">
      <w:pPr>
        <w:ind w:firstLine="480"/>
        <w:rPr>
          <w:rFonts w:hint="eastAsia"/>
        </w:rPr>
      </w:pPr>
      <w:r>
        <w:t>2. 间距与覆盖要求</w:t>
      </w:r>
    </w:p>
    <w:p w14:paraId="75B7E49D">
      <w:pPr>
        <w:ind w:firstLine="480"/>
        <w:rPr>
          <w:rFonts w:hint="eastAsia"/>
        </w:rPr>
      </w:pPr>
      <w:r>
        <w:t>合理间距布局：根据林区面积和地形复杂程度，机场间距控制在10-15公里，确保无人机巡航范围能够有效覆盖相邻区域</w:t>
      </w:r>
    </w:p>
    <w:p w14:paraId="75B7E49E">
      <w:pPr>
        <w:ind w:firstLine="480"/>
        <w:rPr>
          <w:rFonts w:hint="eastAsia"/>
        </w:rPr>
      </w:pPr>
      <w:r>
        <w:t>交叉覆盖验证：相邻机场的监测范围需形成交叉覆盖，提升火情监测的冗余度和准确性；重点林区可适当缩小间距至5-8公里</w:t>
      </w:r>
    </w:p>
    <w:p w14:paraId="75B7E49F">
      <w:pPr>
        <w:ind w:firstLine="480"/>
        <w:rPr>
          <w:rFonts w:hint="eastAsia"/>
        </w:rPr>
      </w:pPr>
      <w:r>
        <w:t>巡航半径适配：根据无人机巡航半径（约</w:t>
      </w:r>
      <w:r>
        <w:rPr>
          <w:rFonts w:hint="eastAsia"/>
        </w:rPr>
        <w:t>5</w:t>
      </w:r>
      <w:r>
        <w:t>公里），确保机场布局能够覆盖</w:t>
      </w:r>
      <w:r>
        <w:rPr>
          <w:rFonts w:hint="eastAsia"/>
        </w:rPr>
        <w:t>重点</w:t>
      </w:r>
      <w:r>
        <w:t>林区区域，避免出现监测空白</w:t>
      </w:r>
    </w:p>
    <w:p w14:paraId="75B7E4A0">
      <w:pPr>
        <w:ind w:firstLine="480"/>
        <w:rPr>
          <w:rFonts w:hint="eastAsia"/>
        </w:rPr>
      </w:pPr>
      <w:r>
        <w:t>3. 配套设施要求</w:t>
      </w:r>
    </w:p>
    <w:p w14:paraId="75B7E4A1">
      <w:pPr>
        <w:ind w:firstLine="480"/>
        <w:rPr>
          <w:rFonts w:hint="eastAsia"/>
        </w:rPr>
      </w:pPr>
      <w:r>
        <w:t>供电保障：优先采用市电供电，配备不低于3小时的备电服务；偏远区域可配置太阳能供电系统，确保设备24小时稳定运行</w:t>
      </w:r>
    </w:p>
    <w:p w14:paraId="75B7E4A2">
      <w:pPr>
        <w:ind w:firstLine="480"/>
        <w:rPr>
          <w:rFonts w:hint="eastAsia"/>
        </w:rPr>
      </w:pPr>
      <w:r>
        <w:t>网络连接：确保机场具备稳定的网络连接，支持4G/5G拨号入网或有线直连入网，实现与指挥中心的实时数据传输</w:t>
      </w:r>
    </w:p>
    <w:p w14:paraId="75B7E4A3">
      <w:pPr>
        <w:ind w:firstLine="480"/>
        <w:rPr>
          <w:rFonts w:hint="eastAsia"/>
        </w:rPr>
      </w:pPr>
      <w:r>
        <w:t>防雷接地：严格按照防雷设计要求施工，设备接地电阻≤4Ω，确保无人机机场设备安全</w:t>
      </w:r>
    </w:p>
    <w:p w14:paraId="75B7E4A4">
      <w:pPr>
        <w:ind w:firstLine="480"/>
        <w:rPr>
          <w:rFonts w:hint="eastAsia"/>
        </w:rPr>
      </w:pPr>
      <w:r>
        <w:rPr>
          <w:rFonts w:hint="eastAsia"/>
          <w:lang w:val="en-US"/>
        </w:rPr>
        <w:t>三</w:t>
      </w:r>
      <w:r>
        <w:t>、合规性原则</w:t>
      </w:r>
    </w:p>
    <w:p w14:paraId="75B7E4A5">
      <w:pPr>
        <w:ind w:firstLine="480"/>
        <w:rPr>
          <w:rFonts w:hint="eastAsia"/>
        </w:rPr>
      </w:pPr>
      <w:r>
        <w:t>符合行业标准：严格按照《森林防火视频监控系统技术规范》《无人机系统通用要求》等行业标准进行布局和建设，确保系统标准化、规范化</w:t>
      </w:r>
    </w:p>
    <w:p w14:paraId="75B7E4A6">
      <w:pPr>
        <w:ind w:firstLine="480"/>
        <w:rPr>
          <w:rFonts w:hint="eastAsia"/>
        </w:rPr>
      </w:pPr>
      <w:r>
        <w:t>满足管理需求：结合岳阳市森林防火实际情况，机场布局需符合地方森林防火应急预案和管理要求，提升应急响应效率</w:t>
      </w:r>
    </w:p>
    <w:p w14:paraId="75B7E4A7">
      <w:pPr>
        <w:ind w:firstLine="480"/>
        <w:rPr>
          <w:rFonts w:hint="eastAsia"/>
        </w:rPr>
      </w:pPr>
      <w:r>
        <w:t>安全合规：机场选址需避开禁飞区域，确保无人机飞行安全；严格遵守民用航空管理规定，办理相关飞行审批手续</w:t>
      </w:r>
    </w:p>
    <w:p w14:paraId="75B7E4A8">
      <w:pPr>
        <w:ind w:firstLine="480"/>
        <w:rPr>
          <w:rFonts w:hint="eastAsia"/>
        </w:rPr>
      </w:pPr>
      <w:r>
        <w:rPr>
          <w:rFonts w:hint="eastAsia"/>
          <w:lang w:val="en-US"/>
        </w:rPr>
        <w:t>四</w:t>
      </w:r>
      <w:r>
        <w:rPr>
          <w:rFonts w:hint="eastAsia"/>
        </w:rPr>
        <w:t>、自主巡护无人机机场布点方案</w:t>
      </w:r>
    </w:p>
    <w:p w14:paraId="75B7E4A9">
      <w:pPr>
        <w:ind w:firstLine="480"/>
        <w:rPr>
          <w:rFonts w:hint="eastAsia"/>
        </w:rPr>
      </w:pPr>
      <w:r>
        <w:rPr>
          <w:rFonts w:hint="eastAsia"/>
        </w:rPr>
        <w:t>本期新建34套无人机机场。在“三断”等紧急情况下，进行无人机监测与高位监控联动，实现“高位监控大范围扫盲-无人机精细核实补盲”的快速响应机制。</w:t>
      </w:r>
    </w:p>
    <w:p w14:paraId="75B7E4AA">
      <w:pPr>
        <w:ind w:firstLine="480"/>
        <w:rPr>
          <w:rFonts w:hint="eastAsia"/>
        </w:rPr>
      </w:pPr>
      <w:r>
        <w:rPr>
          <w:rFonts w:hint="eastAsia"/>
        </w:rPr>
        <w:t>1.岳阳市本级</w:t>
      </w:r>
    </w:p>
    <w:tbl>
      <w:tblPr>
        <w:tblStyle w:val="38"/>
        <w:tblW w:w="5000" w:type="pct"/>
        <w:jc w:val="center"/>
        <w:tblLayout w:type="fixed"/>
        <w:tblCellMar>
          <w:top w:w="0" w:type="dxa"/>
          <w:left w:w="108" w:type="dxa"/>
          <w:bottom w:w="0" w:type="dxa"/>
          <w:right w:w="108" w:type="dxa"/>
        </w:tblCellMar>
      </w:tblPr>
      <w:tblGrid>
        <w:gridCol w:w="636"/>
        <w:gridCol w:w="1057"/>
        <w:gridCol w:w="1002"/>
        <w:gridCol w:w="1137"/>
        <w:gridCol w:w="1135"/>
        <w:gridCol w:w="1420"/>
        <w:gridCol w:w="1290"/>
        <w:gridCol w:w="635"/>
      </w:tblGrid>
      <w:tr w14:paraId="75B7E4B4">
        <w:tblPrEx>
          <w:tblCellMar>
            <w:top w:w="0" w:type="dxa"/>
            <w:left w:w="108" w:type="dxa"/>
            <w:bottom w:w="0" w:type="dxa"/>
            <w:right w:w="108" w:type="dxa"/>
          </w:tblCellMar>
        </w:tblPrEx>
        <w:trPr>
          <w:tblHeader/>
          <w:jc w:val="center"/>
        </w:trPr>
        <w:tc>
          <w:tcPr>
            <w:tcW w:w="382"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AB">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序号</w:t>
            </w:r>
          </w:p>
        </w:tc>
        <w:tc>
          <w:tcPr>
            <w:tcW w:w="635"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AC">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行政区域</w:t>
            </w:r>
          </w:p>
        </w:tc>
        <w:tc>
          <w:tcPr>
            <w:tcW w:w="603"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AD">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乡镇</w:t>
            </w:r>
          </w:p>
          <w:p w14:paraId="75B7E4AE">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（街道）</w:t>
            </w:r>
          </w:p>
        </w:tc>
        <w:tc>
          <w:tcPr>
            <w:tcW w:w="684"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AF">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村</w:t>
            </w:r>
          </w:p>
        </w:tc>
        <w:tc>
          <w:tcPr>
            <w:tcW w:w="683"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B0">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小地名</w:t>
            </w:r>
          </w:p>
        </w:tc>
        <w:tc>
          <w:tcPr>
            <w:tcW w:w="854"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B1">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经度</w:t>
            </w:r>
          </w:p>
        </w:tc>
        <w:tc>
          <w:tcPr>
            <w:tcW w:w="776"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B2">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纬度</w:t>
            </w:r>
          </w:p>
        </w:tc>
        <w:tc>
          <w:tcPr>
            <w:tcW w:w="382" w:type="pct"/>
            <w:tcBorders>
              <w:top w:val="single" w:color="auto" w:sz="4" w:space="0"/>
              <w:left w:val="single" w:color="auto" w:sz="4" w:space="0"/>
              <w:bottom w:val="single" w:color="auto" w:sz="4" w:space="0"/>
              <w:right w:val="single" w:color="auto" w:sz="4" w:space="0"/>
            </w:tcBorders>
            <w:shd w:val="clear" w:color="CCCCFF" w:fill="auto"/>
            <w:noWrap/>
            <w:vAlign w:val="center"/>
          </w:tcPr>
          <w:p w14:paraId="75B7E4B3">
            <w:pPr>
              <w:keepNext/>
              <w:widowControl/>
              <w:autoSpaceDE/>
              <w:autoSpaceDN/>
              <w:snapToGrid w:val="0"/>
              <w:spacing w:line="36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备注</w:t>
            </w:r>
          </w:p>
        </w:tc>
      </w:tr>
      <w:tr w14:paraId="75B7E4BD">
        <w:tblPrEx>
          <w:tblCellMar>
            <w:top w:w="0" w:type="dxa"/>
            <w:left w:w="108" w:type="dxa"/>
            <w:bottom w:w="0" w:type="dxa"/>
            <w:right w:w="108" w:type="dxa"/>
          </w:tblCellMar>
        </w:tblPrEx>
        <w:trPr>
          <w:jc w:val="center"/>
        </w:trPr>
        <w:tc>
          <w:tcPr>
            <w:tcW w:w="382" w:type="pct"/>
            <w:tcBorders>
              <w:top w:val="single" w:color="auto" w:sz="4" w:space="0"/>
              <w:left w:val="single" w:color="auto" w:sz="4" w:space="0"/>
              <w:bottom w:val="single" w:color="auto" w:sz="4" w:space="0"/>
              <w:right w:val="single" w:color="auto" w:sz="4" w:space="0"/>
            </w:tcBorders>
            <w:noWrap/>
            <w:vAlign w:val="center"/>
          </w:tcPr>
          <w:p w14:paraId="75B7E4B5">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1</w:t>
            </w:r>
          </w:p>
        </w:tc>
        <w:tc>
          <w:tcPr>
            <w:tcW w:w="635" w:type="pct"/>
            <w:tcBorders>
              <w:top w:val="single" w:color="auto" w:sz="4" w:space="0"/>
              <w:left w:val="single" w:color="auto" w:sz="4" w:space="0"/>
              <w:bottom w:val="single" w:color="auto" w:sz="4" w:space="0"/>
              <w:right w:val="single" w:color="auto" w:sz="4" w:space="0"/>
            </w:tcBorders>
            <w:noWrap/>
            <w:vAlign w:val="center"/>
          </w:tcPr>
          <w:p w14:paraId="75B7E4B6">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岳阳楼区</w:t>
            </w:r>
          </w:p>
        </w:tc>
        <w:tc>
          <w:tcPr>
            <w:tcW w:w="603" w:type="pct"/>
            <w:tcBorders>
              <w:top w:val="single" w:color="auto" w:sz="4" w:space="0"/>
              <w:left w:val="single" w:color="auto" w:sz="4" w:space="0"/>
              <w:bottom w:val="single" w:color="auto" w:sz="4" w:space="0"/>
              <w:right w:val="single" w:color="auto" w:sz="4" w:space="0"/>
            </w:tcBorders>
            <w:noWrap/>
            <w:vAlign w:val="center"/>
          </w:tcPr>
          <w:p w14:paraId="75B7E4B7">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湖滨街道</w:t>
            </w:r>
          </w:p>
        </w:tc>
        <w:tc>
          <w:tcPr>
            <w:tcW w:w="684" w:type="pct"/>
            <w:tcBorders>
              <w:top w:val="single" w:color="auto" w:sz="4" w:space="0"/>
              <w:left w:val="single" w:color="auto" w:sz="4" w:space="0"/>
              <w:bottom w:val="single" w:color="auto" w:sz="4" w:space="0"/>
              <w:right w:val="single" w:color="auto" w:sz="4" w:space="0"/>
            </w:tcBorders>
            <w:noWrap/>
            <w:vAlign w:val="center"/>
          </w:tcPr>
          <w:p w14:paraId="75B7E4B8">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黄沙湾社区</w:t>
            </w:r>
          </w:p>
        </w:tc>
        <w:tc>
          <w:tcPr>
            <w:tcW w:w="683" w:type="pct"/>
            <w:tcBorders>
              <w:top w:val="single" w:color="auto" w:sz="4" w:space="0"/>
              <w:left w:val="single" w:color="auto" w:sz="4" w:space="0"/>
              <w:bottom w:val="single" w:color="auto" w:sz="4" w:space="0"/>
              <w:right w:val="single" w:color="auto" w:sz="4" w:space="0"/>
            </w:tcBorders>
            <w:noWrap/>
            <w:vAlign w:val="center"/>
          </w:tcPr>
          <w:p w14:paraId="75B7E4B9">
            <w:pPr>
              <w:keepNext/>
              <w:widowControl/>
              <w:autoSpaceDE/>
              <w:autoSpaceDN/>
              <w:snapToGrid w:val="0"/>
              <w:spacing w:line="36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市委党校</w:t>
            </w:r>
          </w:p>
        </w:tc>
        <w:tc>
          <w:tcPr>
            <w:tcW w:w="854" w:type="pct"/>
            <w:tcBorders>
              <w:top w:val="single" w:color="auto" w:sz="4" w:space="0"/>
              <w:left w:val="single" w:color="auto" w:sz="4" w:space="0"/>
              <w:bottom w:val="single" w:color="auto" w:sz="4" w:space="0"/>
              <w:right w:val="single" w:color="auto" w:sz="4" w:space="0"/>
            </w:tcBorders>
            <w:noWrap/>
            <w:vAlign w:val="center"/>
          </w:tcPr>
          <w:p w14:paraId="75B7E4BA">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113.071079</w:t>
            </w:r>
          </w:p>
        </w:tc>
        <w:tc>
          <w:tcPr>
            <w:tcW w:w="776" w:type="pct"/>
            <w:tcBorders>
              <w:top w:val="single" w:color="auto" w:sz="4" w:space="0"/>
              <w:left w:val="single" w:color="auto" w:sz="4" w:space="0"/>
              <w:bottom w:val="single" w:color="auto" w:sz="4" w:space="0"/>
              <w:right w:val="single" w:color="auto" w:sz="4" w:space="0"/>
            </w:tcBorders>
            <w:noWrap/>
            <w:vAlign w:val="center"/>
          </w:tcPr>
          <w:p w14:paraId="75B7E4BB">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29.332634</w:t>
            </w:r>
          </w:p>
        </w:tc>
        <w:tc>
          <w:tcPr>
            <w:tcW w:w="382" w:type="pct"/>
            <w:tcBorders>
              <w:top w:val="single" w:color="auto" w:sz="4" w:space="0"/>
              <w:left w:val="single" w:color="auto" w:sz="4" w:space="0"/>
              <w:bottom w:val="single" w:color="auto" w:sz="4" w:space="0"/>
              <w:right w:val="single" w:color="auto" w:sz="4" w:space="0"/>
            </w:tcBorders>
            <w:noWrap/>
            <w:vAlign w:val="center"/>
          </w:tcPr>
          <w:p w14:paraId="75B7E4BC">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4C6">
        <w:tblPrEx>
          <w:tblCellMar>
            <w:top w:w="0" w:type="dxa"/>
            <w:left w:w="108" w:type="dxa"/>
            <w:bottom w:w="0" w:type="dxa"/>
            <w:right w:w="108" w:type="dxa"/>
          </w:tblCellMar>
        </w:tblPrEx>
        <w:trPr>
          <w:jc w:val="center"/>
        </w:trPr>
        <w:tc>
          <w:tcPr>
            <w:tcW w:w="382" w:type="pct"/>
            <w:tcBorders>
              <w:top w:val="single" w:color="auto" w:sz="4" w:space="0"/>
              <w:left w:val="single" w:color="auto" w:sz="4" w:space="0"/>
              <w:bottom w:val="single" w:color="auto" w:sz="4" w:space="0"/>
              <w:right w:val="single" w:color="auto" w:sz="4" w:space="0"/>
            </w:tcBorders>
            <w:noWrap/>
            <w:vAlign w:val="center"/>
          </w:tcPr>
          <w:p w14:paraId="75B7E4BE">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2</w:t>
            </w:r>
          </w:p>
        </w:tc>
        <w:tc>
          <w:tcPr>
            <w:tcW w:w="635" w:type="pct"/>
            <w:tcBorders>
              <w:top w:val="single" w:color="auto" w:sz="4" w:space="0"/>
              <w:left w:val="single" w:color="auto" w:sz="4" w:space="0"/>
              <w:bottom w:val="single" w:color="auto" w:sz="4" w:space="0"/>
              <w:right w:val="single" w:color="auto" w:sz="4" w:space="0"/>
            </w:tcBorders>
            <w:noWrap/>
            <w:vAlign w:val="center"/>
          </w:tcPr>
          <w:p w14:paraId="75B7E4BF">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岳阳楼区</w:t>
            </w:r>
          </w:p>
        </w:tc>
        <w:tc>
          <w:tcPr>
            <w:tcW w:w="603" w:type="pct"/>
            <w:tcBorders>
              <w:top w:val="single" w:color="auto" w:sz="4" w:space="0"/>
              <w:left w:val="single" w:color="auto" w:sz="4" w:space="0"/>
              <w:bottom w:val="single" w:color="auto" w:sz="4" w:space="0"/>
              <w:right w:val="single" w:color="auto" w:sz="4" w:space="0"/>
            </w:tcBorders>
            <w:noWrap/>
            <w:vAlign w:val="center"/>
          </w:tcPr>
          <w:p w14:paraId="75B7E4C0">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求索街道</w:t>
            </w:r>
          </w:p>
        </w:tc>
        <w:tc>
          <w:tcPr>
            <w:tcW w:w="684" w:type="pct"/>
            <w:tcBorders>
              <w:top w:val="single" w:color="auto" w:sz="4" w:space="0"/>
              <w:left w:val="single" w:color="auto" w:sz="4" w:space="0"/>
              <w:bottom w:val="single" w:color="auto" w:sz="4" w:space="0"/>
              <w:right w:val="single" w:color="auto" w:sz="4" w:space="0"/>
            </w:tcBorders>
            <w:noWrap/>
            <w:vAlign w:val="center"/>
          </w:tcPr>
          <w:p w14:paraId="75B7E4C1">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云梦社区</w:t>
            </w:r>
          </w:p>
        </w:tc>
        <w:tc>
          <w:tcPr>
            <w:tcW w:w="683" w:type="pct"/>
            <w:tcBorders>
              <w:top w:val="single" w:color="auto" w:sz="4" w:space="0"/>
              <w:left w:val="single" w:color="auto" w:sz="4" w:space="0"/>
              <w:bottom w:val="single" w:color="auto" w:sz="4" w:space="0"/>
              <w:right w:val="single" w:color="auto" w:sz="4" w:space="0"/>
            </w:tcBorders>
            <w:noWrap/>
            <w:vAlign w:val="center"/>
          </w:tcPr>
          <w:p w14:paraId="75B7E4C2">
            <w:pPr>
              <w:keepNext/>
              <w:widowControl/>
              <w:autoSpaceDE/>
              <w:autoSpaceDN/>
              <w:snapToGrid w:val="0"/>
              <w:spacing w:line="36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金鄂山</w:t>
            </w:r>
          </w:p>
        </w:tc>
        <w:tc>
          <w:tcPr>
            <w:tcW w:w="854" w:type="pct"/>
            <w:tcBorders>
              <w:top w:val="single" w:color="auto" w:sz="4" w:space="0"/>
              <w:left w:val="single" w:color="auto" w:sz="4" w:space="0"/>
              <w:bottom w:val="single" w:color="auto" w:sz="4" w:space="0"/>
              <w:right w:val="single" w:color="auto" w:sz="4" w:space="0"/>
            </w:tcBorders>
            <w:noWrap/>
            <w:vAlign w:val="center"/>
          </w:tcPr>
          <w:p w14:paraId="75B7E4C3">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113.104085</w:t>
            </w:r>
          </w:p>
        </w:tc>
        <w:tc>
          <w:tcPr>
            <w:tcW w:w="776" w:type="pct"/>
            <w:tcBorders>
              <w:top w:val="single" w:color="auto" w:sz="4" w:space="0"/>
              <w:left w:val="single" w:color="auto" w:sz="4" w:space="0"/>
              <w:bottom w:val="single" w:color="auto" w:sz="4" w:space="0"/>
              <w:right w:val="single" w:color="auto" w:sz="4" w:space="0"/>
            </w:tcBorders>
            <w:noWrap/>
            <w:vAlign w:val="center"/>
          </w:tcPr>
          <w:p w14:paraId="75B7E4C4">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29.35943</w:t>
            </w:r>
          </w:p>
        </w:tc>
        <w:tc>
          <w:tcPr>
            <w:tcW w:w="382" w:type="pct"/>
            <w:tcBorders>
              <w:top w:val="single" w:color="auto" w:sz="4" w:space="0"/>
              <w:left w:val="single" w:color="auto" w:sz="4" w:space="0"/>
              <w:bottom w:val="single" w:color="auto" w:sz="4" w:space="0"/>
              <w:right w:val="single" w:color="auto" w:sz="4" w:space="0"/>
            </w:tcBorders>
            <w:noWrap/>
            <w:vAlign w:val="center"/>
          </w:tcPr>
          <w:p w14:paraId="75B7E4C5">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4CF">
        <w:tblPrEx>
          <w:tblCellMar>
            <w:top w:w="0" w:type="dxa"/>
            <w:left w:w="108" w:type="dxa"/>
            <w:bottom w:w="0" w:type="dxa"/>
            <w:right w:w="108" w:type="dxa"/>
          </w:tblCellMar>
        </w:tblPrEx>
        <w:trPr>
          <w:jc w:val="center"/>
        </w:trPr>
        <w:tc>
          <w:tcPr>
            <w:tcW w:w="382" w:type="pct"/>
            <w:tcBorders>
              <w:top w:val="single" w:color="auto" w:sz="4" w:space="0"/>
              <w:left w:val="single" w:color="auto" w:sz="4" w:space="0"/>
              <w:bottom w:val="single" w:color="auto" w:sz="4" w:space="0"/>
              <w:right w:val="single" w:color="auto" w:sz="4" w:space="0"/>
            </w:tcBorders>
            <w:noWrap/>
            <w:vAlign w:val="center"/>
          </w:tcPr>
          <w:p w14:paraId="75B7E4C7">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3</w:t>
            </w:r>
          </w:p>
        </w:tc>
        <w:tc>
          <w:tcPr>
            <w:tcW w:w="635" w:type="pct"/>
            <w:tcBorders>
              <w:top w:val="single" w:color="auto" w:sz="4" w:space="0"/>
              <w:left w:val="single" w:color="auto" w:sz="4" w:space="0"/>
              <w:bottom w:val="single" w:color="auto" w:sz="4" w:space="0"/>
              <w:right w:val="single" w:color="auto" w:sz="4" w:space="0"/>
            </w:tcBorders>
            <w:noWrap/>
            <w:vAlign w:val="center"/>
          </w:tcPr>
          <w:p w14:paraId="75B7E4C8">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岳阳楼区</w:t>
            </w:r>
          </w:p>
        </w:tc>
        <w:tc>
          <w:tcPr>
            <w:tcW w:w="603" w:type="pct"/>
            <w:tcBorders>
              <w:top w:val="single" w:color="auto" w:sz="4" w:space="0"/>
              <w:left w:val="single" w:color="auto" w:sz="4" w:space="0"/>
              <w:bottom w:val="single" w:color="auto" w:sz="4" w:space="0"/>
              <w:right w:val="single" w:color="auto" w:sz="4" w:space="0"/>
            </w:tcBorders>
            <w:noWrap/>
            <w:vAlign w:val="center"/>
          </w:tcPr>
          <w:p w14:paraId="75B7E4C9">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郭镇乡</w:t>
            </w:r>
          </w:p>
        </w:tc>
        <w:tc>
          <w:tcPr>
            <w:tcW w:w="684" w:type="pct"/>
            <w:tcBorders>
              <w:top w:val="single" w:color="auto" w:sz="4" w:space="0"/>
              <w:left w:val="single" w:color="auto" w:sz="4" w:space="0"/>
              <w:bottom w:val="single" w:color="auto" w:sz="4" w:space="0"/>
              <w:right w:val="single" w:color="auto" w:sz="4" w:space="0"/>
            </w:tcBorders>
            <w:noWrap/>
            <w:vAlign w:val="center"/>
          </w:tcPr>
          <w:p w14:paraId="75B7E4CA">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麻布村委会</w:t>
            </w:r>
          </w:p>
        </w:tc>
        <w:tc>
          <w:tcPr>
            <w:tcW w:w="683" w:type="pct"/>
            <w:tcBorders>
              <w:top w:val="single" w:color="auto" w:sz="4" w:space="0"/>
              <w:left w:val="single" w:color="auto" w:sz="4" w:space="0"/>
              <w:bottom w:val="single" w:color="auto" w:sz="4" w:space="0"/>
              <w:right w:val="single" w:color="auto" w:sz="4" w:space="0"/>
            </w:tcBorders>
            <w:noWrap/>
            <w:vAlign w:val="center"/>
          </w:tcPr>
          <w:p w14:paraId="75B7E4CB">
            <w:pPr>
              <w:keepNext/>
              <w:widowControl/>
              <w:autoSpaceDE/>
              <w:autoSpaceDN/>
              <w:snapToGrid w:val="0"/>
              <w:spacing w:line="36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畈中</w:t>
            </w:r>
          </w:p>
        </w:tc>
        <w:tc>
          <w:tcPr>
            <w:tcW w:w="854" w:type="pct"/>
            <w:tcBorders>
              <w:top w:val="single" w:color="auto" w:sz="4" w:space="0"/>
              <w:left w:val="single" w:color="auto" w:sz="4" w:space="0"/>
              <w:bottom w:val="single" w:color="auto" w:sz="4" w:space="0"/>
              <w:right w:val="single" w:color="auto" w:sz="4" w:space="0"/>
            </w:tcBorders>
            <w:noWrap/>
            <w:vAlign w:val="center"/>
          </w:tcPr>
          <w:p w14:paraId="75B7E4CC">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113.111902</w:t>
            </w:r>
          </w:p>
        </w:tc>
        <w:tc>
          <w:tcPr>
            <w:tcW w:w="776" w:type="pct"/>
            <w:tcBorders>
              <w:top w:val="single" w:color="auto" w:sz="4" w:space="0"/>
              <w:left w:val="single" w:color="auto" w:sz="4" w:space="0"/>
              <w:bottom w:val="single" w:color="auto" w:sz="4" w:space="0"/>
              <w:right w:val="single" w:color="auto" w:sz="4" w:space="0"/>
            </w:tcBorders>
            <w:noWrap/>
            <w:vAlign w:val="center"/>
          </w:tcPr>
          <w:p w14:paraId="75B7E4CD">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29.306329</w:t>
            </w:r>
          </w:p>
        </w:tc>
        <w:tc>
          <w:tcPr>
            <w:tcW w:w="382" w:type="pct"/>
            <w:tcBorders>
              <w:top w:val="single" w:color="auto" w:sz="4" w:space="0"/>
              <w:left w:val="single" w:color="auto" w:sz="4" w:space="0"/>
              <w:bottom w:val="single" w:color="auto" w:sz="4" w:space="0"/>
              <w:right w:val="single" w:color="auto" w:sz="4" w:space="0"/>
            </w:tcBorders>
            <w:noWrap/>
            <w:vAlign w:val="center"/>
          </w:tcPr>
          <w:p w14:paraId="75B7E4CE">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4D8">
        <w:tblPrEx>
          <w:tblCellMar>
            <w:top w:w="0" w:type="dxa"/>
            <w:left w:w="108" w:type="dxa"/>
            <w:bottom w:w="0" w:type="dxa"/>
            <w:right w:w="108" w:type="dxa"/>
          </w:tblCellMar>
        </w:tblPrEx>
        <w:trPr>
          <w:jc w:val="center"/>
        </w:trPr>
        <w:tc>
          <w:tcPr>
            <w:tcW w:w="382" w:type="pct"/>
            <w:tcBorders>
              <w:top w:val="single" w:color="auto" w:sz="4" w:space="0"/>
              <w:left w:val="single" w:color="auto" w:sz="4" w:space="0"/>
              <w:bottom w:val="single" w:color="auto" w:sz="4" w:space="0"/>
              <w:right w:val="single" w:color="auto" w:sz="4" w:space="0"/>
            </w:tcBorders>
            <w:noWrap/>
            <w:vAlign w:val="center"/>
          </w:tcPr>
          <w:p w14:paraId="75B7E4D0">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4</w:t>
            </w:r>
          </w:p>
        </w:tc>
        <w:tc>
          <w:tcPr>
            <w:tcW w:w="635" w:type="pct"/>
            <w:tcBorders>
              <w:top w:val="single" w:color="auto" w:sz="4" w:space="0"/>
              <w:left w:val="single" w:color="auto" w:sz="4" w:space="0"/>
              <w:bottom w:val="single" w:color="auto" w:sz="4" w:space="0"/>
              <w:right w:val="single" w:color="auto" w:sz="4" w:space="0"/>
            </w:tcBorders>
            <w:noWrap/>
            <w:vAlign w:val="center"/>
          </w:tcPr>
          <w:p w14:paraId="75B7E4D1">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岳阳楼区</w:t>
            </w:r>
          </w:p>
        </w:tc>
        <w:tc>
          <w:tcPr>
            <w:tcW w:w="603" w:type="pct"/>
            <w:tcBorders>
              <w:top w:val="single" w:color="auto" w:sz="4" w:space="0"/>
              <w:left w:val="single" w:color="auto" w:sz="4" w:space="0"/>
              <w:bottom w:val="single" w:color="auto" w:sz="4" w:space="0"/>
              <w:right w:val="single" w:color="auto" w:sz="4" w:space="0"/>
            </w:tcBorders>
            <w:noWrap/>
            <w:vAlign w:val="center"/>
          </w:tcPr>
          <w:p w14:paraId="75B7E4D2">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郭镇乡</w:t>
            </w:r>
          </w:p>
        </w:tc>
        <w:tc>
          <w:tcPr>
            <w:tcW w:w="684" w:type="pct"/>
            <w:tcBorders>
              <w:top w:val="single" w:color="auto" w:sz="4" w:space="0"/>
              <w:left w:val="single" w:color="auto" w:sz="4" w:space="0"/>
              <w:bottom w:val="single" w:color="auto" w:sz="4" w:space="0"/>
              <w:right w:val="single" w:color="auto" w:sz="4" w:space="0"/>
            </w:tcBorders>
            <w:noWrap/>
            <w:vAlign w:val="center"/>
          </w:tcPr>
          <w:p w14:paraId="75B7E4D3">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麻布村委会</w:t>
            </w:r>
          </w:p>
        </w:tc>
        <w:tc>
          <w:tcPr>
            <w:tcW w:w="683" w:type="pct"/>
            <w:tcBorders>
              <w:top w:val="single" w:color="auto" w:sz="4" w:space="0"/>
              <w:left w:val="single" w:color="auto" w:sz="4" w:space="0"/>
              <w:bottom w:val="single" w:color="auto" w:sz="4" w:space="0"/>
              <w:right w:val="single" w:color="auto" w:sz="4" w:space="0"/>
            </w:tcBorders>
            <w:noWrap/>
            <w:vAlign w:val="center"/>
          </w:tcPr>
          <w:p w14:paraId="75B7E4D4">
            <w:pPr>
              <w:keepNext/>
              <w:widowControl/>
              <w:autoSpaceDE/>
              <w:autoSpaceDN/>
              <w:snapToGrid w:val="0"/>
              <w:spacing w:line="36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麻布村</w:t>
            </w:r>
          </w:p>
        </w:tc>
        <w:tc>
          <w:tcPr>
            <w:tcW w:w="854" w:type="pct"/>
            <w:tcBorders>
              <w:top w:val="single" w:color="auto" w:sz="4" w:space="0"/>
              <w:left w:val="single" w:color="auto" w:sz="4" w:space="0"/>
              <w:bottom w:val="single" w:color="auto" w:sz="4" w:space="0"/>
              <w:right w:val="single" w:color="auto" w:sz="4" w:space="0"/>
            </w:tcBorders>
            <w:noWrap/>
            <w:vAlign w:val="center"/>
          </w:tcPr>
          <w:p w14:paraId="75B7E4D5">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113.139356</w:t>
            </w:r>
          </w:p>
        </w:tc>
        <w:tc>
          <w:tcPr>
            <w:tcW w:w="776" w:type="pct"/>
            <w:tcBorders>
              <w:top w:val="single" w:color="auto" w:sz="4" w:space="0"/>
              <w:left w:val="single" w:color="auto" w:sz="4" w:space="0"/>
              <w:bottom w:val="single" w:color="auto" w:sz="4" w:space="0"/>
              <w:right w:val="single" w:color="auto" w:sz="4" w:space="0"/>
            </w:tcBorders>
            <w:noWrap/>
            <w:vAlign w:val="center"/>
          </w:tcPr>
          <w:p w14:paraId="75B7E4D6">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29.250785</w:t>
            </w:r>
          </w:p>
        </w:tc>
        <w:tc>
          <w:tcPr>
            <w:tcW w:w="382" w:type="pct"/>
            <w:tcBorders>
              <w:top w:val="single" w:color="auto" w:sz="4" w:space="0"/>
              <w:left w:val="single" w:color="auto" w:sz="4" w:space="0"/>
              <w:bottom w:val="single" w:color="auto" w:sz="4" w:space="0"/>
              <w:right w:val="single" w:color="auto" w:sz="4" w:space="0"/>
            </w:tcBorders>
            <w:noWrap/>
            <w:vAlign w:val="center"/>
          </w:tcPr>
          <w:p w14:paraId="75B7E4D7">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4E1">
        <w:tblPrEx>
          <w:tblCellMar>
            <w:top w:w="0" w:type="dxa"/>
            <w:left w:w="108" w:type="dxa"/>
            <w:bottom w:w="0" w:type="dxa"/>
            <w:right w:w="108" w:type="dxa"/>
          </w:tblCellMar>
        </w:tblPrEx>
        <w:trPr>
          <w:jc w:val="center"/>
        </w:trPr>
        <w:tc>
          <w:tcPr>
            <w:tcW w:w="382" w:type="pct"/>
            <w:tcBorders>
              <w:top w:val="single" w:color="auto" w:sz="4" w:space="0"/>
              <w:left w:val="single" w:color="auto" w:sz="4" w:space="0"/>
              <w:bottom w:val="single" w:color="auto" w:sz="4" w:space="0"/>
              <w:right w:val="single" w:color="auto" w:sz="4" w:space="0"/>
            </w:tcBorders>
            <w:noWrap/>
            <w:vAlign w:val="center"/>
          </w:tcPr>
          <w:p w14:paraId="75B7E4D9">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5</w:t>
            </w:r>
          </w:p>
        </w:tc>
        <w:tc>
          <w:tcPr>
            <w:tcW w:w="635" w:type="pct"/>
            <w:tcBorders>
              <w:top w:val="single" w:color="auto" w:sz="4" w:space="0"/>
              <w:left w:val="single" w:color="auto" w:sz="4" w:space="0"/>
              <w:bottom w:val="single" w:color="auto" w:sz="4" w:space="0"/>
              <w:right w:val="single" w:color="auto" w:sz="4" w:space="0"/>
            </w:tcBorders>
            <w:noWrap/>
            <w:vAlign w:val="center"/>
          </w:tcPr>
          <w:p w14:paraId="75B7E4DA">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岳阳楼区</w:t>
            </w:r>
          </w:p>
        </w:tc>
        <w:tc>
          <w:tcPr>
            <w:tcW w:w="603" w:type="pct"/>
            <w:tcBorders>
              <w:top w:val="single" w:color="auto" w:sz="4" w:space="0"/>
              <w:left w:val="single" w:color="auto" w:sz="4" w:space="0"/>
              <w:bottom w:val="single" w:color="auto" w:sz="4" w:space="0"/>
              <w:right w:val="single" w:color="auto" w:sz="4" w:space="0"/>
            </w:tcBorders>
            <w:noWrap/>
            <w:vAlign w:val="center"/>
          </w:tcPr>
          <w:p w14:paraId="75B7E4DB">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奇家岭街道</w:t>
            </w:r>
          </w:p>
        </w:tc>
        <w:tc>
          <w:tcPr>
            <w:tcW w:w="684" w:type="pct"/>
            <w:tcBorders>
              <w:top w:val="single" w:color="auto" w:sz="4" w:space="0"/>
              <w:left w:val="single" w:color="auto" w:sz="4" w:space="0"/>
              <w:bottom w:val="single" w:color="auto" w:sz="4" w:space="0"/>
              <w:right w:val="single" w:color="auto" w:sz="4" w:space="0"/>
            </w:tcBorders>
            <w:noWrap/>
            <w:vAlign w:val="center"/>
          </w:tcPr>
          <w:p w14:paraId="75B7E4DC">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学院路社区</w:t>
            </w:r>
          </w:p>
        </w:tc>
        <w:tc>
          <w:tcPr>
            <w:tcW w:w="683" w:type="pct"/>
            <w:tcBorders>
              <w:top w:val="single" w:color="auto" w:sz="4" w:space="0"/>
              <w:left w:val="single" w:color="auto" w:sz="4" w:space="0"/>
              <w:bottom w:val="single" w:color="auto" w:sz="4" w:space="0"/>
              <w:right w:val="single" w:color="auto" w:sz="4" w:space="0"/>
            </w:tcBorders>
            <w:noWrap/>
            <w:vAlign w:val="center"/>
          </w:tcPr>
          <w:p w14:paraId="75B7E4DD">
            <w:pPr>
              <w:keepNext/>
              <w:widowControl/>
              <w:autoSpaceDE/>
              <w:autoSpaceDN/>
              <w:snapToGrid w:val="0"/>
              <w:spacing w:line="36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刘家庄</w:t>
            </w:r>
          </w:p>
        </w:tc>
        <w:tc>
          <w:tcPr>
            <w:tcW w:w="854" w:type="pct"/>
            <w:tcBorders>
              <w:top w:val="single" w:color="auto" w:sz="4" w:space="0"/>
              <w:left w:val="single" w:color="auto" w:sz="4" w:space="0"/>
              <w:bottom w:val="single" w:color="auto" w:sz="4" w:space="0"/>
              <w:right w:val="single" w:color="auto" w:sz="4" w:space="0"/>
            </w:tcBorders>
            <w:noWrap/>
            <w:vAlign w:val="center"/>
          </w:tcPr>
          <w:p w14:paraId="75B7E4DE">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113.173059</w:t>
            </w:r>
          </w:p>
        </w:tc>
        <w:tc>
          <w:tcPr>
            <w:tcW w:w="776" w:type="pct"/>
            <w:tcBorders>
              <w:top w:val="single" w:color="auto" w:sz="4" w:space="0"/>
              <w:left w:val="single" w:color="auto" w:sz="4" w:space="0"/>
              <w:bottom w:val="single" w:color="auto" w:sz="4" w:space="0"/>
              <w:right w:val="single" w:color="auto" w:sz="4" w:space="0"/>
            </w:tcBorders>
            <w:noWrap/>
            <w:vAlign w:val="center"/>
          </w:tcPr>
          <w:p w14:paraId="75B7E4DF">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29.288187</w:t>
            </w:r>
          </w:p>
        </w:tc>
        <w:tc>
          <w:tcPr>
            <w:tcW w:w="382" w:type="pct"/>
            <w:tcBorders>
              <w:top w:val="single" w:color="auto" w:sz="4" w:space="0"/>
              <w:left w:val="single" w:color="auto" w:sz="4" w:space="0"/>
              <w:bottom w:val="single" w:color="auto" w:sz="4" w:space="0"/>
              <w:right w:val="single" w:color="auto" w:sz="4" w:space="0"/>
            </w:tcBorders>
            <w:noWrap/>
            <w:vAlign w:val="center"/>
          </w:tcPr>
          <w:p w14:paraId="75B7E4E0">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4EA">
        <w:tblPrEx>
          <w:tblCellMar>
            <w:top w:w="0" w:type="dxa"/>
            <w:left w:w="108" w:type="dxa"/>
            <w:bottom w:w="0" w:type="dxa"/>
            <w:right w:w="108" w:type="dxa"/>
          </w:tblCellMar>
        </w:tblPrEx>
        <w:trPr>
          <w:jc w:val="center"/>
        </w:trPr>
        <w:tc>
          <w:tcPr>
            <w:tcW w:w="382" w:type="pct"/>
            <w:tcBorders>
              <w:top w:val="single" w:color="auto" w:sz="4" w:space="0"/>
              <w:left w:val="single" w:color="auto" w:sz="4" w:space="0"/>
              <w:bottom w:val="single" w:color="auto" w:sz="4" w:space="0"/>
              <w:right w:val="single" w:color="auto" w:sz="4" w:space="0"/>
            </w:tcBorders>
            <w:noWrap/>
            <w:vAlign w:val="center"/>
          </w:tcPr>
          <w:p w14:paraId="75B7E4E2">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6</w:t>
            </w:r>
          </w:p>
        </w:tc>
        <w:tc>
          <w:tcPr>
            <w:tcW w:w="635" w:type="pct"/>
            <w:tcBorders>
              <w:top w:val="single" w:color="auto" w:sz="4" w:space="0"/>
              <w:left w:val="single" w:color="auto" w:sz="4" w:space="0"/>
              <w:bottom w:val="single" w:color="auto" w:sz="4" w:space="0"/>
              <w:right w:val="single" w:color="auto" w:sz="4" w:space="0"/>
            </w:tcBorders>
            <w:noWrap/>
            <w:vAlign w:val="center"/>
          </w:tcPr>
          <w:p w14:paraId="75B7E4E3">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岳阳楼区</w:t>
            </w:r>
          </w:p>
        </w:tc>
        <w:tc>
          <w:tcPr>
            <w:tcW w:w="603" w:type="pct"/>
            <w:tcBorders>
              <w:top w:val="single" w:color="auto" w:sz="4" w:space="0"/>
              <w:left w:val="single" w:color="auto" w:sz="4" w:space="0"/>
              <w:bottom w:val="single" w:color="auto" w:sz="4" w:space="0"/>
              <w:right w:val="single" w:color="auto" w:sz="4" w:space="0"/>
            </w:tcBorders>
            <w:noWrap/>
            <w:vAlign w:val="center"/>
          </w:tcPr>
          <w:p w14:paraId="75B7E4E4">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梅溪街道</w:t>
            </w:r>
          </w:p>
        </w:tc>
        <w:tc>
          <w:tcPr>
            <w:tcW w:w="684" w:type="pct"/>
            <w:tcBorders>
              <w:top w:val="single" w:color="auto" w:sz="4" w:space="0"/>
              <w:left w:val="single" w:color="auto" w:sz="4" w:space="0"/>
              <w:bottom w:val="single" w:color="auto" w:sz="4" w:space="0"/>
              <w:right w:val="single" w:color="auto" w:sz="4" w:space="0"/>
            </w:tcBorders>
            <w:noWrap/>
            <w:vAlign w:val="center"/>
          </w:tcPr>
          <w:p w14:paraId="75B7E4E5">
            <w:pPr>
              <w:keepNext/>
              <w:widowControl/>
              <w:autoSpaceDE/>
              <w:autoSpaceDN/>
              <w:snapToGrid w:val="0"/>
              <w:spacing w:line="360" w:lineRule="auto"/>
              <w:ind w:firstLine="0" w:firstLineChars="0"/>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花果畈社区</w:t>
            </w:r>
          </w:p>
        </w:tc>
        <w:tc>
          <w:tcPr>
            <w:tcW w:w="683" w:type="pct"/>
            <w:tcBorders>
              <w:top w:val="single" w:color="auto" w:sz="4" w:space="0"/>
              <w:left w:val="single" w:color="auto" w:sz="4" w:space="0"/>
              <w:bottom w:val="single" w:color="auto" w:sz="4" w:space="0"/>
              <w:right w:val="single" w:color="auto" w:sz="4" w:space="0"/>
            </w:tcBorders>
            <w:noWrap/>
            <w:vAlign w:val="center"/>
          </w:tcPr>
          <w:p w14:paraId="75B7E4E6">
            <w:pPr>
              <w:keepNext/>
              <w:widowControl/>
              <w:autoSpaceDE/>
              <w:autoSpaceDN/>
              <w:snapToGrid w:val="0"/>
              <w:spacing w:line="36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花果村</w:t>
            </w:r>
          </w:p>
        </w:tc>
        <w:tc>
          <w:tcPr>
            <w:tcW w:w="854" w:type="pct"/>
            <w:tcBorders>
              <w:top w:val="single" w:color="auto" w:sz="4" w:space="0"/>
              <w:left w:val="single" w:color="auto" w:sz="4" w:space="0"/>
              <w:bottom w:val="single" w:color="auto" w:sz="4" w:space="0"/>
              <w:right w:val="single" w:color="auto" w:sz="4" w:space="0"/>
            </w:tcBorders>
            <w:noWrap/>
            <w:vAlign w:val="center"/>
          </w:tcPr>
          <w:p w14:paraId="75B7E4E7">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113.229402</w:t>
            </w:r>
          </w:p>
        </w:tc>
        <w:tc>
          <w:tcPr>
            <w:tcW w:w="776" w:type="pct"/>
            <w:tcBorders>
              <w:top w:val="single" w:color="auto" w:sz="4" w:space="0"/>
              <w:left w:val="single" w:color="auto" w:sz="4" w:space="0"/>
              <w:bottom w:val="single" w:color="auto" w:sz="4" w:space="0"/>
              <w:right w:val="single" w:color="auto" w:sz="4" w:space="0"/>
            </w:tcBorders>
            <w:noWrap/>
            <w:vAlign w:val="center"/>
          </w:tcPr>
          <w:p w14:paraId="75B7E4E8">
            <w:pPr>
              <w:keepNext/>
              <w:widowControl/>
              <w:autoSpaceDE/>
              <w:autoSpaceDN/>
              <w:snapToGrid w:val="0"/>
              <w:spacing w:line="36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29.374898</w:t>
            </w:r>
          </w:p>
        </w:tc>
        <w:tc>
          <w:tcPr>
            <w:tcW w:w="382" w:type="pct"/>
            <w:tcBorders>
              <w:top w:val="single" w:color="auto" w:sz="4" w:space="0"/>
              <w:left w:val="single" w:color="auto" w:sz="4" w:space="0"/>
              <w:bottom w:val="single" w:color="auto" w:sz="4" w:space="0"/>
              <w:right w:val="single" w:color="auto" w:sz="4" w:space="0"/>
            </w:tcBorders>
            <w:noWrap/>
            <w:vAlign w:val="center"/>
          </w:tcPr>
          <w:p w14:paraId="75B7E4E9">
            <w:pPr>
              <w:keepNext/>
              <w:widowControl/>
              <w:autoSpaceDE/>
              <w:autoSpaceDN/>
              <w:snapToGrid w:val="0"/>
              <w:spacing w:line="36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bl>
    <w:p w14:paraId="75B7E4EB">
      <w:pPr>
        <w:ind w:firstLine="480"/>
        <w:rPr>
          <w:rFonts w:hint="eastAsia"/>
        </w:rPr>
      </w:pPr>
    </w:p>
    <w:p w14:paraId="75B7E4EC">
      <w:pPr>
        <w:spacing w:line="240" w:lineRule="auto"/>
        <w:ind w:firstLine="0" w:firstLineChars="0"/>
        <w:jc w:val="center"/>
        <w:rPr>
          <w:rFonts w:hint="eastAsia"/>
        </w:rPr>
      </w:pPr>
      <w:r>
        <w:rPr>
          <w:rFonts w:hint="eastAsia" w:ascii="方正仿宋_GB2312" w:hAnsi="方正仿宋_GB2312" w:eastAsia="方正仿宋_GB2312" w:cs="方正仿宋_GB2312"/>
          <w:sz w:val="28"/>
          <w:szCs w:val="28"/>
        </w:rPr>
        <w:drawing>
          <wp:inline distT="0" distB="0" distL="114300" distR="114300">
            <wp:extent cx="5274310" cy="3079750"/>
            <wp:effectExtent l="0" t="0" r="8890" b="6350"/>
            <wp:docPr id="6" name="图片 6" descr="市本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市本级"/>
                    <pic:cNvPicPr>
                      <a:picLocks noChangeAspect="1"/>
                    </pic:cNvPicPr>
                  </pic:nvPicPr>
                  <pic:blipFill>
                    <a:blip r:embed="rId50"/>
                    <a:stretch>
                      <a:fillRect/>
                    </a:stretch>
                  </pic:blipFill>
                  <pic:spPr>
                    <a:xfrm>
                      <a:off x="0" y="0"/>
                      <a:ext cx="5274310" cy="3079787"/>
                    </a:xfrm>
                    <a:prstGeom prst="rect">
                      <a:avLst/>
                    </a:prstGeom>
                  </pic:spPr>
                </pic:pic>
              </a:graphicData>
            </a:graphic>
          </wp:inline>
        </w:drawing>
      </w:r>
    </w:p>
    <w:p w14:paraId="75B7E4ED">
      <w:pPr>
        <w:ind w:firstLine="480"/>
        <w:rPr>
          <w:rFonts w:hint="eastAsia"/>
        </w:rPr>
      </w:pPr>
      <w:r>
        <w:rPr>
          <w:rFonts w:hint="eastAsia"/>
        </w:rPr>
        <w:t>2.平江县</w:t>
      </w:r>
    </w:p>
    <w:tbl>
      <w:tblPr>
        <w:tblStyle w:val="38"/>
        <w:tblW w:w="5000" w:type="pct"/>
        <w:jc w:val="center"/>
        <w:tblLayout w:type="fixed"/>
        <w:tblCellMar>
          <w:top w:w="0" w:type="dxa"/>
          <w:left w:w="108" w:type="dxa"/>
          <w:bottom w:w="0" w:type="dxa"/>
          <w:right w:w="108" w:type="dxa"/>
        </w:tblCellMar>
      </w:tblPr>
      <w:tblGrid>
        <w:gridCol w:w="501"/>
        <w:gridCol w:w="808"/>
        <w:gridCol w:w="956"/>
        <w:gridCol w:w="1277"/>
        <w:gridCol w:w="1338"/>
        <w:gridCol w:w="1328"/>
        <w:gridCol w:w="1256"/>
        <w:gridCol w:w="848"/>
      </w:tblGrid>
      <w:tr w14:paraId="75B7E4F7">
        <w:tblPrEx>
          <w:tblCellMar>
            <w:top w:w="0" w:type="dxa"/>
            <w:left w:w="108" w:type="dxa"/>
            <w:bottom w:w="0" w:type="dxa"/>
            <w:right w:w="108" w:type="dxa"/>
          </w:tblCellMar>
        </w:tblPrEx>
        <w:trPr>
          <w:tblHeader/>
          <w:jc w:val="center"/>
        </w:trPr>
        <w:tc>
          <w:tcPr>
            <w:tcW w:w="302"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EE">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序号</w:t>
            </w:r>
          </w:p>
        </w:tc>
        <w:tc>
          <w:tcPr>
            <w:tcW w:w="486"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EF">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行政区域</w:t>
            </w:r>
          </w:p>
        </w:tc>
        <w:tc>
          <w:tcPr>
            <w:tcW w:w="57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F0">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乡镇</w:t>
            </w:r>
          </w:p>
          <w:p w14:paraId="75B7E4F1">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（街道）</w:t>
            </w:r>
          </w:p>
        </w:tc>
        <w:tc>
          <w:tcPr>
            <w:tcW w:w="767"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F2">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村</w:t>
            </w:r>
          </w:p>
        </w:tc>
        <w:tc>
          <w:tcPr>
            <w:tcW w:w="80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F3">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小地名</w:t>
            </w:r>
          </w:p>
        </w:tc>
        <w:tc>
          <w:tcPr>
            <w:tcW w:w="79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F4">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经度</w:t>
            </w:r>
          </w:p>
        </w:tc>
        <w:tc>
          <w:tcPr>
            <w:tcW w:w="755"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F5">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纬度</w:t>
            </w:r>
          </w:p>
        </w:tc>
        <w:tc>
          <w:tcPr>
            <w:tcW w:w="509"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4F6">
            <w:pPr>
              <w:keepNext/>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备注</w:t>
            </w:r>
          </w:p>
        </w:tc>
      </w:tr>
      <w:tr w14:paraId="75B7E500">
        <w:tblPrEx>
          <w:tblCellMar>
            <w:top w:w="0" w:type="dxa"/>
            <w:left w:w="108" w:type="dxa"/>
            <w:bottom w:w="0" w:type="dxa"/>
            <w:right w:w="108" w:type="dxa"/>
          </w:tblCellMar>
        </w:tblPrEx>
        <w:trPr>
          <w:jc w:val="center"/>
        </w:trPr>
        <w:tc>
          <w:tcPr>
            <w:tcW w:w="302" w:type="pct"/>
            <w:tcBorders>
              <w:top w:val="single" w:color="000000" w:sz="4" w:space="0"/>
              <w:left w:val="single" w:color="000000" w:sz="4" w:space="0"/>
              <w:bottom w:val="single" w:color="000000" w:sz="4" w:space="0"/>
              <w:right w:val="single" w:color="000000" w:sz="4" w:space="0"/>
            </w:tcBorders>
            <w:noWrap/>
            <w:vAlign w:val="center"/>
          </w:tcPr>
          <w:p w14:paraId="75B7E4F8">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1</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4F9">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平江县</w:t>
            </w:r>
          </w:p>
        </w:tc>
        <w:tc>
          <w:tcPr>
            <w:tcW w:w="574" w:type="pct"/>
            <w:tcBorders>
              <w:top w:val="single" w:color="000000" w:sz="4" w:space="0"/>
              <w:left w:val="single" w:color="000000" w:sz="4" w:space="0"/>
              <w:bottom w:val="single" w:color="000000" w:sz="4" w:space="0"/>
              <w:right w:val="single" w:color="000000" w:sz="4" w:space="0"/>
            </w:tcBorders>
            <w:noWrap/>
            <w:vAlign w:val="center"/>
          </w:tcPr>
          <w:p w14:paraId="75B7E4FA">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瓮江镇</w:t>
            </w:r>
          </w:p>
        </w:tc>
        <w:tc>
          <w:tcPr>
            <w:tcW w:w="767" w:type="pct"/>
            <w:tcBorders>
              <w:top w:val="single" w:color="000000" w:sz="4" w:space="0"/>
              <w:left w:val="single" w:color="000000" w:sz="4" w:space="0"/>
              <w:bottom w:val="single" w:color="000000" w:sz="4" w:space="0"/>
              <w:right w:val="single" w:color="000000" w:sz="4" w:space="0"/>
            </w:tcBorders>
            <w:noWrap/>
            <w:vAlign w:val="center"/>
          </w:tcPr>
          <w:p w14:paraId="75B7E4FB">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水口嘴居民委员会</w:t>
            </w:r>
          </w:p>
        </w:tc>
        <w:tc>
          <w:tcPr>
            <w:tcW w:w="804" w:type="pct"/>
            <w:tcBorders>
              <w:top w:val="single" w:color="000000" w:sz="4" w:space="0"/>
              <w:left w:val="single" w:color="000000" w:sz="4" w:space="0"/>
              <w:bottom w:val="single" w:color="000000" w:sz="4" w:space="0"/>
              <w:right w:val="single" w:color="000000" w:sz="4" w:space="0"/>
            </w:tcBorders>
            <w:noWrap/>
            <w:vAlign w:val="center"/>
          </w:tcPr>
          <w:p w14:paraId="75B7E4FC">
            <w:pPr>
              <w:keepNext/>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大背村</w:t>
            </w:r>
          </w:p>
        </w:tc>
        <w:tc>
          <w:tcPr>
            <w:tcW w:w="798" w:type="pct"/>
            <w:tcBorders>
              <w:top w:val="single" w:color="000000" w:sz="4" w:space="0"/>
              <w:left w:val="single" w:color="000000" w:sz="4" w:space="0"/>
              <w:bottom w:val="single" w:color="000000" w:sz="4" w:space="0"/>
              <w:right w:val="single" w:color="000000" w:sz="4" w:space="0"/>
            </w:tcBorders>
            <w:noWrap/>
            <w:vAlign w:val="center"/>
          </w:tcPr>
          <w:p w14:paraId="75B7E4FD">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113.341003</w:t>
            </w:r>
          </w:p>
        </w:tc>
        <w:tc>
          <w:tcPr>
            <w:tcW w:w="755" w:type="pct"/>
            <w:tcBorders>
              <w:top w:val="single" w:color="000000" w:sz="4" w:space="0"/>
              <w:left w:val="single" w:color="000000" w:sz="4" w:space="0"/>
              <w:bottom w:val="single" w:color="000000" w:sz="4" w:space="0"/>
              <w:right w:val="single" w:color="000000" w:sz="4" w:space="0"/>
            </w:tcBorders>
            <w:noWrap/>
            <w:vAlign w:val="center"/>
          </w:tcPr>
          <w:p w14:paraId="75B7E4FE">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28.723163</w:t>
            </w:r>
          </w:p>
        </w:tc>
        <w:tc>
          <w:tcPr>
            <w:tcW w:w="509" w:type="pct"/>
            <w:tcBorders>
              <w:top w:val="single" w:color="000000" w:sz="4" w:space="0"/>
              <w:left w:val="single" w:color="000000" w:sz="4" w:space="0"/>
              <w:bottom w:val="single" w:color="000000" w:sz="4" w:space="0"/>
              <w:right w:val="single" w:color="000000" w:sz="4" w:space="0"/>
            </w:tcBorders>
            <w:noWrap/>
            <w:vAlign w:val="center"/>
          </w:tcPr>
          <w:p w14:paraId="75B7E4FF">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09">
        <w:tblPrEx>
          <w:tblCellMar>
            <w:top w:w="0" w:type="dxa"/>
            <w:left w:w="108" w:type="dxa"/>
            <w:bottom w:w="0" w:type="dxa"/>
            <w:right w:w="108" w:type="dxa"/>
          </w:tblCellMar>
        </w:tblPrEx>
        <w:trPr>
          <w:jc w:val="center"/>
        </w:trPr>
        <w:tc>
          <w:tcPr>
            <w:tcW w:w="302" w:type="pct"/>
            <w:tcBorders>
              <w:top w:val="single" w:color="000000" w:sz="4" w:space="0"/>
              <w:left w:val="single" w:color="000000" w:sz="4" w:space="0"/>
              <w:bottom w:val="single" w:color="000000" w:sz="4" w:space="0"/>
              <w:right w:val="single" w:color="000000" w:sz="4" w:space="0"/>
            </w:tcBorders>
            <w:noWrap/>
            <w:vAlign w:val="center"/>
          </w:tcPr>
          <w:p w14:paraId="75B7E501">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2</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02">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平江县</w:t>
            </w:r>
          </w:p>
        </w:tc>
        <w:tc>
          <w:tcPr>
            <w:tcW w:w="574" w:type="pct"/>
            <w:tcBorders>
              <w:top w:val="single" w:color="000000" w:sz="4" w:space="0"/>
              <w:left w:val="single" w:color="000000" w:sz="4" w:space="0"/>
              <w:bottom w:val="single" w:color="000000" w:sz="4" w:space="0"/>
              <w:right w:val="single" w:color="000000" w:sz="4" w:space="0"/>
            </w:tcBorders>
            <w:noWrap/>
            <w:vAlign w:val="center"/>
          </w:tcPr>
          <w:p w14:paraId="75B7E503">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余坪镇</w:t>
            </w:r>
          </w:p>
        </w:tc>
        <w:tc>
          <w:tcPr>
            <w:tcW w:w="767" w:type="pct"/>
            <w:tcBorders>
              <w:top w:val="single" w:color="000000" w:sz="4" w:space="0"/>
              <w:left w:val="single" w:color="000000" w:sz="4" w:space="0"/>
              <w:bottom w:val="single" w:color="000000" w:sz="4" w:space="0"/>
              <w:right w:val="single" w:color="000000" w:sz="4" w:space="0"/>
            </w:tcBorders>
            <w:noWrap/>
            <w:vAlign w:val="center"/>
          </w:tcPr>
          <w:p w14:paraId="75B7E504">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万洞村民委员会</w:t>
            </w:r>
          </w:p>
        </w:tc>
        <w:tc>
          <w:tcPr>
            <w:tcW w:w="804" w:type="pct"/>
            <w:tcBorders>
              <w:top w:val="single" w:color="000000" w:sz="4" w:space="0"/>
              <w:left w:val="single" w:color="000000" w:sz="4" w:space="0"/>
              <w:bottom w:val="single" w:color="000000" w:sz="4" w:space="0"/>
              <w:right w:val="single" w:color="000000" w:sz="4" w:space="0"/>
            </w:tcBorders>
            <w:noWrap/>
            <w:vAlign w:val="center"/>
          </w:tcPr>
          <w:p w14:paraId="75B7E505">
            <w:pPr>
              <w:keepNext/>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万洞</w:t>
            </w:r>
          </w:p>
        </w:tc>
        <w:tc>
          <w:tcPr>
            <w:tcW w:w="798" w:type="pct"/>
            <w:tcBorders>
              <w:top w:val="single" w:color="000000" w:sz="4" w:space="0"/>
              <w:left w:val="single" w:color="000000" w:sz="4" w:space="0"/>
              <w:bottom w:val="single" w:color="000000" w:sz="4" w:space="0"/>
              <w:right w:val="single" w:color="000000" w:sz="4" w:space="0"/>
            </w:tcBorders>
            <w:noWrap/>
            <w:vAlign w:val="center"/>
          </w:tcPr>
          <w:p w14:paraId="75B7E506">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113.535459</w:t>
            </w:r>
          </w:p>
        </w:tc>
        <w:tc>
          <w:tcPr>
            <w:tcW w:w="755" w:type="pct"/>
            <w:tcBorders>
              <w:top w:val="single" w:color="000000" w:sz="4" w:space="0"/>
              <w:left w:val="single" w:color="000000" w:sz="4" w:space="0"/>
              <w:bottom w:val="single" w:color="000000" w:sz="4" w:space="0"/>
              <w:right w:val="single" w:color="000000" w:sz="4" w:space="0"/>
            </w:tcBorders>
            <w:noWrap/>
            <w:vAlign w:val="center"/>
          </w:tcPr>
          <w:p w14:paraId="75B7E507">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28.952919</w:t>
            </w:r>
          </w:p>
        </w:tc>
        <w:tc>
          <w:tcPr>
            <w:tcW w:w="509" w:type="pct"/>
            <w:tcBorders>
              <w:top w:val="single" w:color="000000" w:sz="4" w:space="0"/>
              <w:left w:val="single" w:color="000000" w:sz="4" w:space="0"/>
              <w:bottom w:val="single" w:color="000000" w:sz="4" w:space="0"/>
              <w:right w:val="single" w:color="000000" w:sz="4" w:space="0"/>
            </w:tcBorders>
            <w:noWrap/>
            <w:vAlign w:val="center"/>
          </w:tcPr>
          <w:p w14:paraId="75B7E508">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12">
        <w:tblPrEx>
          <w:tblCellMar>
            <w:top w:w="0" w:type="dxa"/>
            <w:left w:w="108" w:type="dxa"/>
            <w:bottom w:w="0" w:type="dxa"/>
            <w:right w:w="108" w:type="dxa"/>
          </w:tblCellMar>
        </w:tblPrEx>
        <w:trPr>
          <w:jc w:val="center"/>
        </w:trPr>
        <w:tc>
          <w:tcPr>
            <w:tcW w:w="302" w:type="pct"/>
            <w:tcBorders>
              <w:top w:val="single" w:color="000000" w:sz="4" w:space="0"/>
              <w:left w:val="single" w:color="000000" w:sz="4" w:space="0"/>
              <w:bottom w:val="single" w:color="000000" w:sz="4" w:space="0"/>
              <w:right w:val="single" w:color="000000" w:sz="4" w:space="0"/>
            </w:tcBorders>
            <w:noWrap/>
            <w:vAlign w:val="center"/>
          </w:tcPr>
          <w:p w14:paraId="75B7E50A">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3</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0B">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平江县</w:t>
            </w:r>
          </w:p>
        </w:tc>
        <w:tc>
          <w:tcPr>
            <w:tcW w:w="574" w:type="pct"/>
            <w:tcBorders>
              <w:top w:val="single" w:color="000000" w:sz="4" w:space="0"/>
              <w:left w:val="single" w:color="000000" w:sz="4" w:space="0"/>
              <w:bottom w:val="single" w:color="000000" w:sz="4" w:space="0"/>
              <w:right w:val="single" w:color="000000" w:sz="4" w:space="0"/>
            </w:tcBorders>
            <w:noWrap/>
            <w:vAlign w:val="center"/>
          </w:tcPr>
          <w:p w14:paraId="75B7E50C">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南江镇</w:t>
            </w:r>
          </w:p>
        </w:tc>
        <w:tc>
          <w:tcPr>
            <w:tcW w:w="767" w:type="pct"/>
            <w:tcBorders>
              <w:top w:val="single" w:color="000000" w:sz="4" w:space="0"/>
              <w:left w:val="single" w:color="000000" w:sz="4" w:space="0"/>
              <w:bottom w:val="single" w:color="000000" w:sz="4" w:space="0"/>
              <w:right w:val="single" w:color="000000" w:sz="4" w:space="0"/>
            </w:tcBorders>
            <w:noWrap/>
            <w:vAlign w:val="center"/>
          </w:tcPr>
          <w:p w14:paraId="75B7E50D">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阜山村民委员会</w:t>
            </w:r>
          </w:p>
        </w:tc>
        <w:tc>
          <w:tcPr>
            <w:tcW w:w="804" w:type="pct"/>
            <w:tcBorders>
              <w:top w:val="single" w:color="000000" w:sz="4" w:space="0"/>
              <w:left w:val="single" w:color="000000" w:sz="4" w:space="0"/>
              <w:bottom w:val="single" w:color="000000" w:sz="4" w:space="0"/>
              <w:right w:val="single" w:color="000000" w:sz="4" w:space="0"/>
            </w:tcBorders>
            <w:noWrap/>
            <w:vAlign w:val="center"/>
          </w:tcPr>
          <w:p w14:paraId="75B7E50E">
            <w:pPr>
              <w:keepNext/>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幕阜山一峰尖</w:t>
            </w:r>
          </w:p>
        </w:tc>
        <w:tc>
          <w:tcPr>
            <w:tcW w:w="798" w:type="pct"/>
            <w:tcBorders>
              <w:top w:val="single" w:color="000000" w:sz="4" w:space="0"/>
              <w:left w:val="single" w:color="000000" w:sz="4" w:space="0"/>
              <w:bottom w:val="single" w:color="000000" w:sz="4" w:space="0"/>
              <w:right w:val="single" w:color="000000" w:sz="4" w:space="0"/>
            </w:tcBorders>
            <w:noWrap/>
            <w:vAlign w:val="center"/>
          </w:tcPr>
          <w:p w14:paraId="75B7E50F">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113.838600</w:t>
            </w:r>
          </w:p>
        </w:tc>
        <w:tc>
          <w:tcPr>
            <w:tcW w:w="755" w:type="pct"/>
            <w:tcBorders>
              <w:top w:val="single" w:color="000000" w:sz="4" w:space="0"/>
              <w:left w:val="single" w:color="000000" w:sz="4" w:space="0"/>
              <w:bottom w:val="single" w:color="000000" w:sz="4" w:space="0"/>
              <w:right w:val="single" w:color="000000" w:sz="4" w:space="0"/>
            </w:tcBorders>
            <w:noWrap/>
            <w:vAlign w:val="center"/>
          </w:tcPr>
          <w:p w14:paraId="75B7E510">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28.990099</w:t>
            </w:r>
          </w:p>
        </w:tc>
        <w:tc>
          <w:tcPr>
            <w:tcW w:w="509" w:type="pct"/>
            <w:tcBorders>
              <w:top w:val="single" w:color="000000" w:sz="4" w:space="0"/>
              <w:left w:val="single" w:color="000000" w:sz="4" w:space="0"/>
              <w:bottom w:val="single" w:color="000000" w:sz="4" w:space="0"/>
              <w:right w:val="single" w:color="000000" w:sz="4" w:space="0"/>
            </w:tcBorders>
            <w:noWrap/>
            <w:vAlign w:val="center"/>
          </w:tcPr>
          <w:p w14:paraId="75B7E511">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1B">
        <w:tblPrEx>
          <w:tblCellMar>
            <w:top w:w="0" w:type="dxa"/>
            <w:left w:w="108" w:type="dxa"/>
            <w:bottom w:w="0" w:type="dxa"/>
            <w:right w:w="108" w:type="dxa"/>
          </w:tblCellMar>
        </w:tblPrEx>
        <w:trPr>
          <w:jc w:val="center"/>
        </w:trPr>
        <w:tc>
          <w:tcPr>
            <w:tcW w:w="302" w:type="pct"/>
            <w:tcBorders>
              <w:top w:val="single" w:color="000000" w:sz="4" w:space="0"/>
              <w:left w:val="single" w:color="000000" w:sz="4" w:space="0"/>
              <w:bottom w:val="single" w:color="000000" w:sz="4" w:space="0"/>
              <w:right w:val="single" w:color="000000" w:sz="4" w:space="0"/>
            </w:tcBorders>
            <w:noWrap/>
            <w:vAlign w:val="center"/>
          </w:tcPr>
          <w:p w14:paraId="75B7E513">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4</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14">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平江县</w:t>
            </w:r>
          </w:p>
        </w:tc>
        <w:tc>
          <w:tcPr>
            <w:tcW w:w="574" w:type="pct"/>
            <w:tcBorders>
              <w:top w:val="single" w:color="000000" w:sz="4" w:space="0"/>
              <w:left w:val="single" w:color="000000" w:sz="4" w:space="0"/>
              <w:bottom w:val="single" w:color="000000" w:sz="4" w:space="0"/>
              <w:right w:val="single" w:color="000000" w:sz="4" w:space="0"/>
            </w:tcBorders>
            <w:noWrap/>
            <w:vAlign w:val="center"/>
          </w:tcPr>
          <w:p w14:paraId="75B7E515">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天岳街道</w:t>
            </w:r>
          </w:p>
        </w:tc>
        <w:tc>
          <w:tcPr>
            <w:tcW w:w="767" w:type="pct"/>
            <w:tcBorders>
              <w:top w:val="single" w:color="000000" w:sz="4" w:space="0"/>
              <w:left w:val="single" w:color="000000" w:sz="4" w:space="0"/>
              <w:bottom w:val="single" w:color="000000" w:sz="4" w:space="0"/>
              <w:right w:val="single" w:color="000000" w:sz="4" w:space="0"/>
            </w:tcBorders>
            <w:noWrap/>
            <w:vAlign w:val="center"/>
          </w:tcPr>
          <w:p w14:paraId="75B7E516">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密岩寨村民委员会</w:t>
            </w:r>
          </w:p>
        </w:tc>
        <w:tc>
          <w:tcPr>
            <w:tcW w:w="804" w:type="pct"/>
            <w:tcBorders>
              <w:top w:val="single" w:color="000000" w:sz="4" w:space="0"/>
              <w:left w:val="single" w:color="000000" w:sz="4" w:space="0"/>
              <w:bottom w:val="single" w:color="000000" w:sz="4" w:space="0"/>
              <w:right w:val="single" w:color="000000" w:sz="4" w:space="0"/>
            </w:tcBorders>
            <w:noWrap/>
            <w:vAlign w:val="center"/>
          </w:tcPr>
          <w:p w14:paraId="75B7E517">
            <w:pPr>
              <w:keepNext/>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咏生村</w:t>
            </w:r>
          </w:p>
        </w:tc>
        <w:tc>
          <w:tcPr>
            <w:tcW w:w="798" w:type="pct"/>
            <w:tcBorders>
              <w:top w:val="single" w:color="000000" w:sz="4" w:space="0"/>
              <w:left w:val="single" w:color="000000" w:sz="4" w:space="0"/>
              <w:bottom w:val="single" w:color="000000" w:sz="4" w:space="0"/>
              <w:right w:val="single" w:color="000000" w:sz="4" w:space="0"/>
            </w:tcBorders>
            <w:noWrap/>
            <w:vAlign w:val="center"/>
          </w:tcPr>
          <w:p w14:paraId="75B7E518">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113.837322</w:t>
            </w:r>
          </w:p>
        </w:tc>
        <w:tc>
          <w:tcPr>
            <w:tcW w:w="755" w:type="pct"/>
            <w:tcBorders>
              <w:top w:val="single" w:color="000000" w:sz="4" w:space="0"/>
              <w:left w:val="single" w:color="000000" w:sz="4" w:space="0"/>
              <w:bottom w:val="single" w:color="000000" w:sz="4" w:space="0"/>
              <w:right w:val="single" w:color="000000" w:sz="4" w:space="0"/>
            </w:tcBorders>
            <w:noWrap/>
            <w:vAlign w:val="center"/>
          </w:tcPr>
          <w:p w14:paraId="75B7E519">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28.732322</w:t>
            </w:r>
          </w:p>
        </w:tc>
        <w:tc>
          <w:tcPr>
            <w:tcW w:w="509" w:type="pct"/>
            <w:tcBorders>
              <w:top w:val="single" w:color="000000" w:sz="4" w:space="0"/>
              <w:left w:val="single" w:color="000000" w:sz="4" w:space="0"/>
              <w:bottom w:val="single" w:color="000000" w:sz="4" w:space="0"/>
              <w:right w:val="single" w:color="000000" w:sz="4" w:space="0"/>
            </w:tcBorders>
            <w:noWrap/>
            <w:vAlign w:val="center"/>
          </w:tcPr>
          <w:p w14:paraId="75B7E51A">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24">
        <w:tblPrEx>
          <w:tblCellMar>
            <w:top w:w="0" w:type="dxa"/>
            <w:left w:w="108" w:type="dxa"/>
            <w:bottom w:w="0" w:type="dxa"/>
            <w:right w:w="108" w:type="dxa"/>
          </w:tblCellMar>
        </w:tblPrEx>
        <w:trPr>
          <w:jc w:val="center"/>
        </w:trPr>
        <w:tc>
          <w:tcPr>
            <w:tcW w:w="302" w:type="pct"/>
            <w:tcBorders>
              <w:top w:val="single" w:color="000000" w:sz="4" w:space="0"/>
              <w:left w:val="single" w:color="000000" w:sz="4" w:space="0"/>
              <w:bottom w:val="single" w:color="000000" w:sz="4" w:space="0"/>
              <w:right w:val="single" w:color="000000" w:sz="4" w:space="0"/>
            </w:tcBorders>
            <w:noWrap/>
            <w:vAlign w:val="center"/>
          </w:tcPr>
          <w:p w14:paraId="75B7E51C">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5</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1D">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平江县</w:t>
            </w:r>
          </w:p>
        </w:tc>
        <w:tc>
          <w:tcPr>
            <w:tcW w:w="574" w:type="pct"/>
            <w:tcBorders>
              <w:top w:val="single" w:color="000000" w:sz="4" w:space="0"/>
              <w:left w:val="single" w:color="000000" w:sz="4" w:space="0"/>
              <w:bottom w:val="single" w:color="000000" w:sz="4" w:space="0"/>
              <w:right w:val="single" w:color="000000" w:sz="4" w:space="0"/>
            </w:tcBorders>
            <w:noWrap/>
            <w:vAlign w:val="center"/>
          </w:tcPr>
          <w:p w14:paraId="75B7E51E">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龙门镇</w:t>
            </w:r>
          </w:p>
        </w:tc>
        <w:tc>
          <w:tcPr>
            <w:tcW w:w="767" w:type="pct"/>
            <w:tcBorders>
              <w:top w:val="single" w:color="000000" w:sz="4" w:space="0"/>
              <w:left w:val="single" w:color="000000" w:sz="4" w:space="0"/>
              <w:bottom w:val="single" w:color="000000" w:sz="4" w:space="0"/>
              <w:right w:val="single" w:color="000000" w:sz="4" w:space="0"/>
            </w:tcBorders>
            <w:noWrap/>
            <w:vAlign w:val="center"/>
          </w:tcPr>
          <w:p w14:paraId="75B7E51F">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银子村民委员会</w:t>
            </w:r>
          </w:p>
        </w:tc>
        <w:tc>
          <w:tcPr>
            <w:tcW w:w="804" w:type="pct"/>
            <w:tcBorders>
              <w:top w:val="single" w:color="000000" w:sz="4" w:space="0"/>
              <w:left w:val="single" w:color="000000" w:sz="4" w:space="0"/>
              <w:bottom w:val="single" w:color="000000" w:sz="4" w:space="0"/>
              <w:right w:val="single" w:color="000000" w:sz="4" w:space="0"/>
            </w:tcBorders>
            <w:noWrap/>
            <w:vAlign w:val="center"/>
          </w:tcPr>
          <w:p w14:paraId="75B7E520">
            <w:pPr>
              <w:keepNext/>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水平</w:t>
            </w:r>
          </w:p>
        </w:tc>
        <w:tc>
          <w:tcPr>
            <w:tcW w:w="798" w:type="pct"/>
            <w:tcBorders>
              <w:top w:val="single" w:color="000000" w:sz="4" w:space="0"/>
              <w:left w:val="single" w:color="000000" w:sz="4" w:space="0"/>
              <w:bottom w:val="single" w:color="000000" w:sz="4" w:space="0"/>
              <w:right w:val="single" w:color="000000" w:sz="4" w:space="0"/>
            </w:tcBorders>
            <w:noWrap/>
            <w:vAlign w:val="center"/>
          </w:tcPr>
          <w:p w14:paraId="75B7E521">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114.083055</w:t>
            </w:r>
          </w:p>
        </w:tc>
        <w:tc>
          <w:tcPr>
            <w:tcW w:w="755" w:type="pct"/>
            <w:tcBorders>
              <w:top w:val="single" w:color="000000" w:sz="4" w:space="0"/>
              <w:left w:val="single" w:color="000000" w:sz="4" w:space="0"/>
              <w:bottom w:val="single" w:color="000000" w:sz="4" w:space="0"/>
              <w:right w:val="single" w:color="000000" w:sz="4" w:space="0"/>
            </w:tcBorders>
            <w:noWrap/>
            <w:vAlign w:val="center"/>
          </w:tcPr>
          <w:p w14:paraId="75B7E522">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28.750278</w:t>
            </w:r>
          </w:p>
        </w:tc>
        <w:tc>
          <w:tcPr>
            <w:tcW w:w="509" w:type="pct"/>
            <w:tcBorders>
              <w:top w:val="single" w:color="000000" w:sz="4" w:space="0"/>
              <w:left w:val="single" w:color="000000" w:sz="4" w:space="0"/>
              <w:bottom w:val="single" w:color="000000" w:sz="4" w:space="0"/>
              <w:right w:val="single" w:color="000000" w:sz="4" w:space="0"/>
            </w:tcBorders>
            <w:noWrap/>
            <w:vAlign w:val="center"/>
          </w:tcPr>
          <w:p w14:paraId="75B7E523">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2D">
        <w:tblPrEx>
          <w:tblCellMar>
            <w:top w:w="0" w:type="dxa"/>
            <w:left w:w="108" w:type="dxa"/>
            <w:bottom w:w="0" w:type="dxa"/>
            <w:right w:w="108" w:type="dxa"/>
          </w:tblCellMar>
        </w:tblPrEx>
        <w:trPr>
          <w:jc w:val="center"/>
        </w:trPr>
        <w:tc>
          <w:tcPr>
            <w:tcW w:w="302" w:type="pct"/>
            <w:tcBorders>
              <w:top w:val="single" w:color="000000" w:sz="4" w:space="0"/>
              <w:left w:val="single" w:color="000000" w:sz="4" w:space="0"/>
              <w:bottom w:val="single" w:color="000000" w:sz="4" w:space="0"/>
              <w:right w:val="single" w:color="000000" w:sz="4" w:space="0"/>
            </w:tcBorders>
            <w:noWrap/>
            <w:vAlign w:val="center"/>
          </w:tcPr>
          <w:p w14:paraId="75B7E525">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6</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26">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平江县</w:t>
            </w:r>
          </w:p>
        </w:tc>
        <w:tc>
          <w:tcPr>
            <w:tcW w:w="574" w:type="pct"/>
            <w:tcBorders>
              <w:top w:val="single" w:color="000000" w:sz="4" w:space="0"/>
              <w:left w:val="single" w:color="000000" w:sz="4" w:space="0"/>
              <w:bottom w:val="single" w:color="000000" w:sz="4" w:space="0"/>
              <w:right w:val="single" w:color="000000" w:sz="4" w:space="0"/>
            </w:tcBorders>
            <w:noWrap/>
            <w:vAlign w:val="center"/>
          </w:tcPr>
          <w:p w14:paraId="75B7E527">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长寿镇</w:t>
            </w:r>
          </w:p>
        </w:tc>
        <w:tc>
          <w:tcPr>
            <w:tcW w:w="767" w:type="pct"/>
            <w:tcBorders>
              <w:top w:val="single" w:color="000000" w:sz="4" w:space="0"/>
              <w:left w:val="single" w:color="000000" w:sz="4" w:space="0"/>
              <w:bottom w:val="single" w:color="000000" w:sz="4" w:space="0"/>
              <w:right w:val="single" w:color="000000" w:sz="4" w:space="0"/>
            </w:tcBorders>
            <w:noWrap/>
            <w:vAlign w:val="center"/>
          </w:tcPr>
          <w:p w14:paraId="75B7E528">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大黄村民委员会</w:t>
            </w:r>
          </w:p>
        </w:tc>
        <w:tc>
          <w:tcPr>
            <w:tcW w:w="804" w:type="pct"/>
            <w:tcBorders>
              <w:top w:val="single" w:color="000000" w:sz="4" w:space="0"/>
              <w:left w:val="single" w:color="000000" w:sz="4" w:space="0"/>
              <w:bottom w:val="single" w:color="000000" w:sz="4" w:space="0"/>
              <w:right w:val="single" w:color="000000" w:sz="4" w:space="0"/>
            </w:tcBorders>
            <w:noWrap/>
            <w:vAlign w:val="center"/>
          </w:tcPr>
          <w:p w14:paraId="75B7E529">
            <w:pPr>
              <w:keepNext/>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黄金水库</w:t>
            </w:r>
          </w:p>
        </w:tc>
        <w:tc>
          <w:tcPr>
            <w:tcW w:w="798" w:type="pct"/>
            <w:tcBorders>
              <w:top w:val="single" w:color="000000" w:sz="4" w:space="0"/>
              <w:left w:val="single" w:color="000000" w:sz="4" w:space="0"/>
              <w:bottom w:val="single" w:color="000000" w:sz="4" w:space="0"/>
              <w:right w:val="single" w:color="000000" w:sz="4" w:space="0"/>
            </w:tcBorders>
            <w:noWrap/>
            <w:vAlign w:val="center"/>
          </w:tcPr>
          <w:p w14:paraId="75B7E52A">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114.033402</w:t>
            </w:r>
          </w:p>
        </w:tc>
        <w:tc>
          <w:tcPr>
            <w:tcW w:w="755" w:type="pct"/>
            <w:tcBorders>
              <w:top w:val="single" w:color="000000" w:sz="4" w:space="0"/>
              <w:left w:val="single" w:color="000000" w:sz="4" w:space="0"/>
              <w:bottom w:val="single" w:color="000000" w:sz="4" w:space="0"/>
              <w:right w:val="single" w:color="000000" w:sz="4" w:space="0"/>
            </w:tcBorders>
            <w:noWrap/>
            <w:vAlign w:val="center"/>
          </w:tcPr>
          <w:p w14:paraId="75B7E52B">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28.635438</w:t>
            </w:r>
          </w:p>
        </w:tc>
        <w:tc>
          <w:tcPr>
            <w:tcW w:w="509" w:type="pct"/>
            <w:tcBorders>
              <w:top w:val="single" w:color="000000" w:sz="4" w:space="0"/>
              <w:left w:val="single" w:color="000000" w:sz="4" w:space="0"/>
              <w:bottom w:val="single" w:color="000000" w:sz="4" w:space="0"/>
              <w:right w:val="single" w:color="000000" w:sz="4" w:space="0"/>
            </w:tcBorders>
            <w:noWrap/>
            <w:vAlign w:val="center"/>
          </w:tcPr>
          <w:p w14:paraId="75B7E52C">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36">
        <w:tblPrEx>
          <w:tblCellMar>
            <w:top w:w="0" w:type="dxa"/>
            <w:left w:w="108" w:type="dxa"/>
            <w:bottom w:w="0" w:type="dxa"/>
            <w:right w:w="108" w:type="dxa"/>
          </w:tblCellMar>
        </w:tblPrEx>
        <w:trPr>
          <w:jc w:val="center"/>
        </w:trPr>
        <w:tc>
          <w:tcPr>
            <w:tcW w:w="302" w:type="pct"/>
            <w:tcBorders>
              <w:top w:val="single" w:color="000000" w:sz="4" w:space="0"/>
              <w:left w:val="single" w:color="000000" w:sz="4" w:space="0"/>
              <w:bottom w:val="single" w:color="000000" w:sz="4" w:space="0"/>
              <w:right w:val="single" w:color="000000" w:sz="4" w:space="0"/>
            </w:tcBorders>
            <w:noWrap/>
            <w:vAlign w:val="center"/>
          </w:tcPr>
          <w:p w14:paraId="75B7E52E">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7</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2F">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平江县</w:t>
            </w:r>
          </w:p>
        </w:tc>
        <w:tc>
          <w:tcPr>
            <w:tcW w:w="574" w:type="pct"/>
            <w:tcBorders>
              <w:top w:val="single" w:color="000000" w:sz="4" w:space="0"/>
              <w:left w:val="single" w:color="000000" w:sz="4" w:space="0"/>
              <w:bottom w:val="single" w:color="000000" w:sz="4" w:space="0"/>
              <w:right w:val="single" w:color="000000" w:sz="4" w:space="0"/>
            </w:tcBorders>
            <w:noWrap/>
            <w:vAlign w:val="center"/>
          </w:tcPr>
          <w:p w14:paraId="75B7E530">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三市镇</w:t>
            </w:r>
          </w:p>
        </w:tc>
        <w:tc>
          <w:tcPr>
            <w:tcW w:w="767" w:type="pct"/>
            <w:tcBorders>
              <w:top w:val="single" w:color="000000" w:sz="4" w:space="0"/>
              <w:left w:val="single" w:color="000000" w:sz="4" w:space="0"/>
              <w:bottom w:val="single" w:color="000000" w:sz="4" w:space="0"/>
              <w:right w:val="single" w:color="000000" w:sz="4" w:space="0"/>
            </w:tcBorders>
            <w:noWrap/>
            <w:vAlign w:val="center"/>
          </w:tcPr>
          <w:p w14:paraId="75B7E531">
            <w:pPr>
              <w:keepNext/>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宦田村民委员会</w:t>
            </w:r>
          </w:p>
        </w:tc>
        <w:tc>
          <w:tcPr>
            <w:tcW w:w="804" w:type="pct"/>
            <w:tcBorders>
              <w:top w:val="single" w:color="000000" w:sz="4" w:space="0"/>
              <w:left w:val="single" w:color="000000" w:sz="4" w:space="0"/>
              <w:bottom w:val="single" w:color="000000" w:sz="4" w:space="0"/>
              <w:right w:val="single" w:color="000000" w:sz="4" w:space="0"/>
            </w:tcBorders>
            <w:noWrap/>
            <w:vAlign w:val="center"/>
          </w:tcPr>
          <w:p w14:paraId="75B7E532">
            <w:pPr>
              <w:keepNext/>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白寺村</w:t>
            </w:r>
          </w:p>
        </w:tc>
        <w:tc>
          <w:tcPr>
            <w:tcW w:w="798" w:type="pct"/>
            <w:tcBorders>
              <w:top w:val="single" w:color="000000" w:sz="4" w:space="0"/>
              <w:left w:val="single" w:color="000000" w:sz="4" w:space="0"/>
              <w:bottom w:val="single" w:color="000000" w:sz="4" w:space="0"/>
              <w:right w:val="single" w:color="000000" w:sz="4" w:space="0"/>
            </w:tcBorders>
            <w:noWrap/>
            <w:vAlign w:val="center"/>
          </w:tcPr>
          <w:p w14:paraId="75B7E533">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113.724605</w:t>
            </w:r>
          </w:p>
        </w:tc>
        <w:tc>
          <w:tcPr>
            <w:tcW w:w="755" w:type="pct"/>
            <w:tcBorders>
              <w:top w:val="single" w:color="000000" w:sz="4" w:space="0"/>
              <w:left w:val="single" w:color="000000" w:sz="4" w:space="0"/>
              <w:bottom w:val="single" w:color="000000" w:sz="4" w:space="0"/>
              <w:right w:val="single" w:color="000000" w:sz="4" w:space="0"/>
            </w:tcBorders>
            <w:noWrap/>
            <w:vAlign w:val="center"/>
          </w:tcPr>
          <w:p w14:paraId="75B7E534">
            <w:pPr>
              <w:keepNext/>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28.469691</w:t>
            </w:r>
          </w:p>
        </w:tc>
        <w:tc>
          <w:tcPr>
            <w:tcW w:w="509" w:type="pct"/>
            <w:tcBorders>
              <w:top w:val="single" w:color="000000" w:sz="4" w:space="0"/>
              <w:left w:val="single" w:color="000000" w:sz="4" w:space="0"/>
              <w:bottom w:val="single" w:color="000000" w:sz="4" w:space="0"/>
              <w:right w:val="single" w:color="000000" w:sz="4" w:space="0"/>
            </w:tcBorders>
            <w:noWrap/>
            <w:vAlign w:val="center"/>
          </w:tcPr>
          <w:p w14:paraId="75B7E535">
            <w:pPr>
              <w:keepNext/>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bl>
    <w:p w14:paraId="75B7E537">
      <w:pPr>
        <w:ind w:firstLine="480"/>
        <w:rPr>
          <w:rFonts w:hint="eastAsia"/>
        </w:rPr>
      </w:pPr>
    </w:p>
    <w:p w14:paraId="75B7E538">
      <w:pPr>
        <w:spacing w:line="240" w:lineRule="auto"/>
        <w:ind w:firstLine="0" w:firstLineChars="0"/>
        <w:jc w:val="center"/>
        <w:rPr>
          <w:rFonts w:hint="eastAsia"/>
        </w:rPr>
      </w:pPr>
      <w:r>
        <w:rPr>
          <w:rFonts w:ascii="方正仿宋_GB2312" w:hAnsi="方正仿宋_GB2312" w:eastAsia="方正仿宋_GB2312" w:cs="方正仿宋_GB2312"/>
          <w:sz w:val="28"/>
          <w:szCs w:val="28"/>
        </w:rPr>
        <w:drawing>
          <wp:inline distT="0" distB="0" distL="114300" distR="114300">
            <wp:extent cx="5274310" cy="3079750"/>
            <wp:effectExtent l="0" t="0" r="8890" b="6350"/>
            <wp:docPr id="7" name="图片 7" descr="平江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平江县"/>
                    <pic:cNvPicPr>
                      <a:picLocks noChangeAspect="1"/>
                    </pic:cNvPicPr>
                  </pic:nvPicPr>
                  <pic:blipFill>
                    <a:blip r:embed="rId51"/>
                    <a:stretch>
                      <a:fillRect/>
                    </a:stretch>
                  </pic:blipFill>
                  <pic:spPr>
                    <a:xfrm>
                      <a:off x="0" y="0"/>
                      <a:ext cx="5274310" cy="3079787"/>
                    </a:xfrm>
                    <a:prstGeom prst="rect">
                      <a:avLst/>
                    </a:prstGeom>
                  </pic:spPr>
                </pic:pic>
              </a:graphicData>
            </a:graphic>
          </wp:inline>
        </w:drawing>
      </w:r>
    </w:p>
    <w:p w14:paraId="75B7E539">
      <w:pPr>
        <w:ind w:firstLine="480"/>
        <w:rPr>
          <w:rFonts w:hint="eastAsia"/>
        </w:rPr>
      </w:pPr>
      <w:r>
        <w:rPr>
          <w:rFonts w:hint="eastAsia"/>
        </w:rPr>
        <w:t>3.芦头林场</w:t>
      </w:r>
    </w:p>
    <w:tbl>
      <w:tblPr>
        <w:tblStyle w:val="38"/>
        <w:tblW w:w="5000" w:type="pct"/>
        <w:jc w:val="center"/>
        <w:tblLayout w:type="fixed"/>
        <w:tblCellMar>
          <w:top w:w="0" w:type="dxa"/>
          <w:left w:w="108" w:type="dxa"/>
          <w:bottom w:w="0" w:type="dxa"/>
          <w:right w:w="108" w:type="dxa"/>
        </w:tblCellMar>
      </w:tblPr>
      <w:tblGrid>
        <w:gridCol w:w="593"/>
        <w:gridCol w:w="1050"/>
        <w:gridCol w:w="1299"/>
        <w:gridCol w:w="1402"/>
        <w:gridCol w:w="906"/>
        <w:gridCol w:w="1271"/>
        <w:gridCol w:w="1198"/>
        <w:gridCol w:w="594"/>
      </w:tblGrid>
      <w:tr w14:paraId="75B7E542">
        <w:tblPrEx>
          <w:tblCellMar>
            <w:top w:w="0" w:type="dxa"/>
            <w:left w:w="108" w:type="dxa"/>
            <w:bottom w:w="0" w:type="dxa"/>
            <w:right w:w="108" w:type="dxa"/>
          </w:tblCellMar>
        </w:tblPrEx>
        <w:trPr>
          <w:tblHeader/>
          <w:jc w:val="center"/>
        </w:trPr>
        <w:tc>
          <w:tcPr>
            <w:tcW w:w="357"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3A">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序号</w:t>
            </w:r>
          </w:p>
        </w:tc>
        <w:tc>
          <w:tcPr>
            <w:tcW w:w="631"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3B">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行政区域</w:t>
            </w:r>
          </w:p>
        </w:tc>
        <w:tc>
          <w:tcPr>
            <w:tcW w:w="782"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3C">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乡镇（街道）</w:t>
            </w:r>
          </w:p>
        </w:tc>
        <w:tc>
          <w:tcPr>
            <w:tcW w:w="84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3D">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村</w:t>
            </w:r>
          </w:p>
        </w:tc>
        <w:tc>
          <w:tcPr>
            <w:tcW w:w="54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3E">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小地名</w:t>
            </w:r>
          </w:p>
        </w:tc>
        <w:tc>
          <w:tcPr>
            <w:tcW w:w="76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3F">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经度</w:t>
            </w:r>
          </w:p>
        </w:tc>
        <w:tc>
          <w:tcPr>
            <w:tcW w:w="720"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40">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纬度</w:t>
            </w:r>
          </w:p>
        </w:tc>
        <w:tc>
          <w:tcPr>
            <w:tcW w:w="35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41">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备注</w:t>
            </w:r>
          </w:p>
        </w:tc>
      </w:tr>
      <w:tr w14:paraId="75B7E54B">
        <w:tblPrEx>
          <w:tblCellMar>
            <w:top w:w="0" w:type="dxa"/>
            <w:left w:w="108" w:type="dxa"/>
            <w:bottom w:w="0" w:type="dxa"/>
            <w:right w:w="108" w:type="dxa"/>
          </w:tblCellMar>
        </w:tblPrEx>
        <w:trPr>
          <w:jc w:val="center"/>
        </w:trPr>
        <w:tc>
          <w:tcPr>
            <w:tcW w:w="357" w:type="pct"/>
            <w:tcBorders>
              <w:top w:val="single" w:color="000000" w:sz="4" w:space="0"/>
              <w:left w:val="single" w:color="000000" w:sz="4" w:space="0"/>
              <w:bottom w:val="single" w:color="000000" w:sz="4" w:space="0"/>
              <w:right w:val="single" w:color="000000" w:sz="4" w:space="0"/>
            </w:tcBorders>
            <w:noWrap/>
            <w:vAlign w:val="center"/>
          </w:tcPr>
          <w:p w14:paraId="75B7E543">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1</w:t>
            </w:r>
          </w:p>
        </w:tc>
        <w:tc>
          <w:tcPr>
            <w:tcW w:w="631" w:type="pct"/>
            <w:tcBorders>
              <w:top w:val="single" w:color="000000" w:sz="4" w:space="0"/>
              <w:left w:val="single" w:color="000000" w:sz="4" w:space="0"/>
              <w:bottom w:val="single" w:color="000000" w:sz="4" w:space="0"/>
              <w:right w:val="single" w:color="000000" w:sz="4" w:space="0"/>
            </w:tcBorders>
            <w:noWrap/>
            <w:vAlign w:val="center"/>
          </w:tcPr>
          <w:p w14:paraId="75B7E544">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卢头林场</w:t>
            </w:r>
          </w:p>
        </w:tc>
        <w:tc>
          <w:tcPr>
            <w:tcW w:w="782" w:type="pct"/>
            <w:tcBorders>
              <w:top w:val="single" w:color="000000" w:sz="4" w:space="0"/>
              <w:left w:val="single" w:color="000000" w:sz="4" w:space="0"/>
              <w:bottom w:val="single" w:color="000000" w:sz="4" w:space="0"/>
              <w:right w:val="single" w:color="000000" w:sz="4" w:space="0"/>
            </w:tcBorders>
            <w:noWrap/>
            <w:vAlign w:val="center"/>
          </w:tcPr>
          <w:p w14:paraId="75B7E545">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加义镇</w:t>
            </w:r>
          </w:p>
        </w:tc>
        <w:tc>
          <w:tcPr>
            <w:tcW w:w="844" w:type="pct"/>
            <w:tcBorders>
              <w:top w:val="single" w:color="000000" w:sz="4" w:space="0"/>
              <w:left w:val="single" w:color="000000" w:sz="4" w:space="0"/>
              <w:bottom w:val="single" w:color="000000" w:sz="4" w:space="0"/>
              <w:right w:val="single" w:color="000000" w:sz="4" w:space="0"/>
            </w:tcBorders>
            <w:noWrap/>
            <w:vAlign w:val="center"/>
          </w:tcPr>
          <w:p w14:paraId="75B7E546">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芦头村民委员会</w:t>
            </w:r>
          </w:p>
        </w:tc>
        <w:tc>
          <w:tcPr>
            <w:tcW w:w="544" w:type="pct"/>
            <w:tcBorders>
              <w:top w:val="single" w:color="000000" w:sz="4" w:space="0"/>
              <w:left w:val="single" w:color="000000" w:sz="4" w:space="0"/>
              <w:bottom w:val="single" w:color="000000" w:sz="4" w:space="0"/>
              <w:right w:val="single" w:color="000000" w:sz="4" w:space="0"/>
            </w:tcBorders>
            <w:noWrap/>
            <w:vAlign w:val="center"/>
          </w:tcPr>
          <w:p w14:paraId="75B7E547">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卢头林科</w:t>
            </w:r>
          </w:p>
        </w:tc>
        <w:tc>
          <w:tcPr>
            <w:tcW w:w="764" w:type="pct"/>
            <w:tcBorders>
              <w:top w:val="single" w:color="000000" w:sz="4" w:space="0"/>
              <w:left w:val="single" w:color="000000" w:sz="4" w:space="0"/>
              <w:bottom w:val="single" w:color="000000" w:sz="4" w:space="0"/>
              <w:right w:val="single" w:color="000000" w:sz="4" w:space="0"/>
            </w:tcBorders>
            <w:noWrap/>
            <w:vAlign w:val="center"/>
          </w:tcPr>
          <w:p w14:paraId="75B7E548">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113.913758</w:t>
            </w:r>
          </w:p>
        </w:tc>
        <w:tc>
          <w:tcPr>
            <w:tcW w:w="720" w:type="pct"/>
            <w:tcBorders>
              <w:top w:val="single" w:color="000000" w:sz="4" w:space="0"/>
              <w:left w:val="single" w:color="000000" w:sz="4" w:space="0"/>
              <w:bottom w:val="single" w:color="000000" w:sz="4" w:space="0"/>
              <w:right w:val="single" w:color="000000" w:sz="4" w:space="0"/>
            </w:tcBorders>
            <w:noWrap/>
            <w:vAlign w:val="center"/>
          </w:tcPr>
          <w:p w14:paraId="75B7E549">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28.559803</w:t>
            </w:r>
          </w:p>
        </w:tc>
        <w:tc>
          <w:tcPr>
            <w:tcW w:w="358" w:type="pct"/>
            <w:tcBorders>
              <w:top w:val="single" w:color="000000" w:sz="4" w:space="0"/>
              <w:left w:val="single" w:color="000000" w:sz="4" w:space="0"/>
              <w:bottom w:val="single" w:color="000000" w:sz="4" w:space="0"/>
              <w:right w:val="single" w:color="000000" w:sz="4" w:space="0"/>
            </w:tcBorders>
            <w:noWrap/>
            <w:vAlign w:val="center"/>
          </w:tcPr>
          <w:p w14:paraId="75B7E54A">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54">
        <w:tblPrEx>
          <w:tblCellMar>
            <w:top w:w="0" w:type="dxa"/>
            <w:left w:w="108" w:type="dxa"/>
            <w:bottom w:w="0" w:type="dxa"/>
            <w:right w:w="108" w:type="dxa"/>
          </w:tblCellMar>
        </w:tblPrEx>
        <w:trPr>
          <w:jc w:val="center"/>
        </w:trPr>
        <w:tc>
          <w:tcPr>
            <w:tcW w:w="357" w:type="pct"/>
            <w:tcBorders>
              <w:top w:val="single" w:color="000000" w:sz="4" w:space="0"/>
              <w:left w:val="single" w:color="000000" w:sz="4" w:space="0"/>
              <w:bottom w:val="single" w:color="000000" w:sz="4" w:space="0"/>
              <w:right w:val="single" w:color="000000" w:sz="4" w:space="0"/>
            </w:tcBorders>
            <w:noWrap/>
            <w:vAlign w:val="center"/>
          </w:tcPr>
          <w:p w14:paraId="75B7E54C">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2</w:t>
            </w:r>
          </w:p>
        </w:tc>
        <w:tc>
          <w:tcPr>
            <w:tcW w:w="631" w:type="pct"/>
            <w:tcBorders>
              <w:top w:val="single" w:color="000000" w:sz="4" w:space="0"/>
              <w:left w:val="single" w:color="000000" w:sz="4" w:space="0"/>
              <w:bottom w:val="single" w:color="000000" w:sz="4" w:space="0"/>
              <w:right w:val="single" w:color="000000" w:sz="4" w:space="0"/>
            </w:tcBorders>
            <w:noWrap/>
            <w:vAlign w:val="center"/>
          </w:tcPr>
          <w:p w14:paraId="75B7E54D">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卢头林场</w:t>
            </w:r>
          </w:p>
        </w:tc>
        <w:tc>
          <w:tcPr>
            <w:tcW w:w="782" w:type="pct"/>
            <w:tcBorders>
              <w:top w:val="single" w:color="000000" w:sz="4" w:space="0"/>
              <w:left w:val="single" w:color="000000" w:sz="4" w:space="0"/>
              <w:bottom w:val="single" w:color="000000" w:sz="4" w:space="0"/>
              <w:right w:val="single" w:color="000000" w:sz="4" w:space="0"/>
            </w:tcBorders>
            <w:noWrap/>
            <w:vAlign w:val="center"/>
          </w:tcPr>
          <w:p w14:paraId="75B7E54E">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加义镇</w:t>
            </w:r>
          </w:p>
        </w:tc>
        <w:tc>
          <w:tcPr>
            <w:tcW w:w="844" w:type="pct"/>
            <w:tcBorders>
              <w:top w:val="single" w:color="000000" w:sz="4" w:space="0"/>
              <w:left w:val="single" w:color="000000" w:sz="4" w:space="0"/>
              <w:bottom w:val="single" w:color="000000" w:sz="4" w:space="0"/>
              <w:right w:val="single" w:color="000000" w:sz="4" w:space="0"/>
            </w:tcBorders>
            <w:noWrap/>
            <w:vAlign w:val="center"/>
          </w:tcPr>
          <w:p w14:paraId="75B7E54F">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芦头村民委员会</w:t>
            </w:r>
          </w:p>
        </w:tc>
        <w:tc>
          <w:tcPr>
            <w:tcW w:w="544" w:type="pct"/>
            <w:tcBorders>
              <w:top w:val="single" w:color="000000" w:sz="4" w:space="0"/>
              <w:left w:val="single" w:color="000000" w:sz="4" w:space="0"/>
              <w:bottom w:val="single" w:color="000000" w:sz="4" w:space="0"/>
              <w:right w:val="single" w:color="000000" w:sz="4" w:space="0"/>
            </w:tcBorders>
            <w:noWrap/>
            <w:vAlign w:val="center"/>
          </w:tcPr>
          <w:p w14:paraId="75B7E550">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卢头</w:t>
            </w:r>
          </w:p>
        </w:tc>
        <w:tc>
          <w:tcPr>
            <w:tcW w:w="764" w:type="pct"/>
            <w:tcBorders>
              <w:top w:val="single" w:color="000000" w:sz="4" w:space="0"/>
              <w:left w:val="single" w:color="000000" w:sz="4" w:space="0"/>
              <w:bottom w:val="single" w:color="000000" w:sz="4" w:space="0"/>
              <w:right w:val="single" w:color="000000" w:sz="4" w:space="0"/>
            </w:tcBorders>
            <w:noWrap/>
            <w:vAlign w:val="center"/>
          </w:tcPr>
          <w:p w14:paraId="75B7E551">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113.896944</w:t>
            </w:r>
          </w:p>
        </w:tc>
        <w:tc>
          <w:tcPr>
            <w:tcW w:w="720" w:type="pct"/>
            <w:tcBorders>
              <w:top w:val="single" w:color="000000" w:sz="4" w:space="0"/>
              <w:left w:val="single" w:color="000000" w:sz="4" w:space="0"/>
              <w:bottom w:val="single" w:color="000000" w:sz="4" w:space="0"/>
              <w:right w:val="single" w:color="000000" w:sz="4" w:space="0"/>
            </w:tcBorders>
            <w:noWrap/>
            <w:vAlign w:val="center"/>
          </w:tcPr>
          <w:p w14:paraId="75B7E552">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28.616944</w:t>
            </w:r>
          </w:p>
        </w:tc>
        <w:tc>
          <w:tcPr>
            <w:tcW w:w="358" w:type="pct"/>
            <w:tcBorders>
              <w:top w:val="single" w:color="000000" w:sz="4" w:space="0"/>
              <w:left w:val="single" w:color="000000" w:sz="4" w:space="0"/>
              <w:bottom w:val="single" w:color="000000" w:sz="4" w:space="0"/>
              <w:right w:val="single" w:color="000000" w:sz="4" w:space="0"/>
            </w:tcBorders>
            <w:noWrap/>
            <w:vAlign w:val="center"/>
          </w:tcPr>
          <w:p w14:paraId="75B7E553">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5D">
        <w:tblPrEx>
          <w:tblCellMar>
            <w:top w:w="0" w:type="dxa"/>
            <w:left w:w="108" w:type="dxa"/>
            <w:bottom w:w="0" w:type="dxa"/>
            <w:right w:w="108" w:type="dxa"/>
          </w:tblCellMar>
        </w:tblPrEx>
        <w:trPr>
          <w:jc w:val="center"/>
        </w:trPr>
        <w:tc>
          <w:tcPr>
            <w:tcW w:w="357" w:type="pct"/>
            <w:tcBorders>
              <w:top w:val="single" w:color="000000" w:sz="4" w:space="0"/>
              <w:left w:val="single" w:color="000000" w:sz="4" w:space="0"/>
              <w:bottom w:val="single" w:color="000000" w:sz="4" w:space="0"/>
              <w:right w:val="single" w:color="000000" w:sz="4" w:space="0"/>
            </w:tcBorders>
            <w:noWrap/>
            <w:vAlign w:val="center"/>
          </w:tcPr>
          <w:p w14:paraId="75B7E555">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3</w:t>
            </w:r>
          </w:p>
        </w:tc>
        <w:tc>
          <w:tcPr>
            <w:tcW w:w="631" w:type="pct"/>
            <w:tcBorders>
              <w:top w:val="single" w:color="000000" w:sz="4" w:space="0"/>
              <w:left w:val="single" w:color="000000" w:sz="4" w:space="0"/>
              <w:bottom w:val="single" w:color="000000" w:sz="4" w:space="0"/>
              <w:right w:val="single" w:color="000000" w:sz="4" w:space="0"/>
            </w:tcBorders>
            <w:noWrap/>
            <w:vAlign w:val="center"/>
          </w:tcPr>
          <w:p w14:paraId="75B7E556">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卢头林场</w:t>
            </w:r>
          </w:p>
        </w:tc>
        <w:tc>
          <w:tcPr>
            <w:tcW w:w="782" w:type="pct"/>
            <w:tcBorders>
              <w:top w:val="single" w:color="000000" w:sz="4" w:space="0"/>
              <w:left w:val="single" w:color="000000" w:sz="4" w:space="0"/>
              <w:bottom w:val="single" w:color="000000" w:sz="4" w:space="0"/>
              <w:right w:val="single" w:color="000000" w:sz="4" w:space="0"/>
            </w:tcBorders>
            <w:noWrap/>
            <w:vAlign w:val="center"/>
          </w:tcPr>
          <w:p w14:paraId="75B7E557">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加义镇</w:t>
            </w:r>
          </w:p>
        </w:tc>
        <w:tc>
          <w:tcPr>
            <w:tcW w:w="844" w:type="pct"/>
            <w:tcBorders>
              <w:top w:val="single" w:color="000000" w:sz="4" w:space="0"/>
              <w:left w:val="single" w:color="000000" w:sz="4" w:space="0"/>
              <w:bottom w:val="single" w:color="000000" w:sz="4" w:space="0"/>
              <w:right w:val="single" w:color="000000" w:sz="4" w:space="0"/>
            </w:tcBorders>
            <w:noWrap/>
            <w:vAlign w:val="center"/>
          </w:tcPr>
          <w:p w14:paraId="75B7E558">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芦头村民委员会</w:t>
            </w:r>
          </w:p>
        </w:tc>
        <w:tc>
          <w:tcPr>
            <w:tcW w:w="544" w:type="pct"/>
            <w:tcBorders>
              <w:top w:val="single" w:color="000000" w:sz="4" w:space="0"/>
              <w:left w:val="single" w:color="000000" w:sz="4" w:space="0"/>
              <w:bottom w:val="single" w:color="000000" w:sz="4" w:space="0"/>
              <w:right w:val="single" w:color="000000" w:sz="4" w:space="0"/>
            </w:tcBorders>
            <w:noWrap/>
            <w:vAlign w:val="center"/>
          </w:tcPr>
          <w:p w14:paraId="75B7E559">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卢头林科</w:t>
            </w:r>
          </w:p>
        </w:tc>
        <w:tc>
          <w:tcPr>
            <w:tcW w:w="764" w:type="pct"/>
            <w:tcBorders>
              <w:top w:val="single" w:color="000000" w:sz="4" w:space="0"/>
              <w:left w:val="single" w:color="000000" w:sz="4" w:space="0"/>
              <w:bottom w:val="single" w:color="000000" w:sz="4" w:space="0"/>
              <w:right w:val="single" w:color="000000" w:sz="4" w:space="0"/>
            </w:tcBorders>
            <w:noWrap/>
            <w:vAlign w:val="center"/>
          </w:tcPr>
          <w:p w14:paraId="75B7E55A">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113.889082</w:t>
            </w:r>
          </w:p>
        </w:tc>
        <w:tc>
          <w:tcPr>
            <w:tcW w:w="720" w:type="pct"/>
            <w:tcBorders>
              <w:top w:val="single" w:color="000000" w:sz="4" w:space="0"/>
              <w:left w:val="single" w:color="000000" w:sz="4" w:space="0"/>
              <w:bottom w:val="single" w:color="000000" w:sz="4" w:space="0"/>
              <w:right w:val="single" w:color="000000" w:sz="4" w:space="0"/>
            </w:tcBorders>
            <w:noWrap/>
            <w:vAlign w:val="center"/>
          </w:tcPr>
          <w:p w14:paraId="75B7E55B">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28.589011</w:t>
            </w:r>
          </w:p>
        </w:tc>
        <w:tc>
          <w:tcPr>
            <w:tcW w:w="358" w:type="pct"/>
            <w:tcBorders>
              <w:top w:val="single" w:color="000000" w:sz="4" w:space="0"/>
              <w:left w:val="single" w:color="000000" w:sz="4" w:space="0"/>
              <w:bottom w:val="single" w:color="000000" w:sz="4" w:space="0"/>
              <w:right w:val="single" w:color="000000" w:sz="4" w:space="0"/>
            </w:tcBorders>
            <w:noWrap/>
            <w:vAlign w:val="center"/>
          </w:tcPr>
          <w:p w14:paraId="75B7E55C">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66">
        <w:tblPrEx>
          <w:tblCellMar>
            <w:top w:w="0" w:type="dxa"/>
            <w:left w:w="108" w:type="dxa"/>
            <w:bottom w:w="0" w:type="dxa"/>
            <w:right w:w="108" w:type="dxa"/>
          </w:tblCellMar>
        </w:tblPrEx>
        <w:trPr>
          <w:jc w:val="center"/>
        </w:trPr>
        <w:tc>
          <w:tcPr>
            <w:tcW w:w="357" w:type="pct"/>
            <w:tcBorders>
              <w:top w:val="single" w:color="000000" w:sz="4" w:space="0"/>
              <w:left w:val="single" w:color="000000" w:sz="4" w:space="0"/>
              <w:bottom w:val="single" w:color="000000" w:sz="4" w:space="0"/>
              <w:right w:val="single" w:color="000000" w:sz="4" w:space="0"/>
            </w:tcBorders>
            <w:noWrap/>
            <w:vAlign w:val="center"/>
          </w:tcPr>
          <w:p w14:paraId="75B7E55E">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4</w:t>
            </w:r>
          </w:p>
        </w:tc>
        <w:tc>
          <w:tcPr>
            <w:tcW w:w="631" w:type="pct"/>
            <w:tcBorders>
              <w:top w:val="single" w:color="000000" w:sz="4" w:space="0"/>
              <w:left w:val="single" w:color="000000" w:sz="4" w:space="0"/>
              <w:bottom w:val="single" w:color="000000" w:sz="4" w:space="0"/>
              <w:right w:val="single" w:color="000000" w:sz="4" w:space="0"/>
            </w:tcBorders>
            <w:noWrap/>
            <w:vAlign w:val="center"/>
          </w:tcPr>
          <w:p w14:paraId="75B7E55F">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卢头林场</w:t>
            </w:r>
          </w:p>
        </w:tc>
        <w:tc>
          <w:tcPr>
            <w:tcW w:w="782" w:type="pct"/>
            <w:tcBorders>
              <w:top w:val="single" w:color="000000" w:sz="4" w:space="0"/>
              <w:left w:val="single" w:color="000000" w:sz="4" w:space="0"/>
              <w:bottom w:val="single" w:color="000000" w:sz="4" w:space="0"/>
              <w:right w:val="single" w:color="000000" w:sz="4" w:space="0"/>
            </w:tcBorders>
            <w:noWrap/>
            <w:vAlign w:val="center"/>
          </w:tcPr>
          <w:p w14:paraId="75B7E560">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加义镇</w:t>
            </w:r>
          </w:p>
        </w:tc>
        <w:tc>
          <w:tcPr>
            <w:tcW w:w="844" w:type="pct"/>
            <w:tcBorders>
              <w:top w:val="single" w:color="000000" w:sz="4" w:space="0"/>
              <w:left w:val="single" w:color="000000" w:sz="4" w:space="0"/>
              <w:bottom w:val="single" w:color="000000" w:sz="4" w:space="0"/>
              <w:right w:val="single" w:color="000000" w:sz="4" w:space="0"/>
            </w:tcBorders>
            <w:noWrap/>
            <w:vAlign w:val="center"/>
          </w:tcPr>
          <w:p w14:paraId="75B7E561">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连云村民委员会</w:t>
            </w:r>
          </w:p>
        </w:tc>
        <w:tc>
          <w:tcPr>
            <w:tcW w:w="544" w:type="pct"/>
            <w:tcBorders>
              <w:top w:val="single" w:color="000000" w:sz="4" w:space="0"/>
              <w:left w:val="single" w:color="000000" w:sz="4" w:space="0"/>
              <w:bottom w:val="single" w:color="000000" w:sz="4" w:space="0"/>
              <w:right w:val="single" w:color="000000" w:sz="4" w:space="0"/>
            </w:tcBorders>
            <w:noWrap/>
            <w:vAlign w:val="center"/>
          </w:tcPr>
          <w:p w14:paraId="75B7E562">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纯溪小镇</w:t>
            </w:r>
          </w:p>
        </w:tc>
        <w:tc>
          <w:tcPr>
            <w:tcW w:w="764" w:type="pct"/>
            <w:tcBorders>
              <w:top w:val="single" w:color="000000" w:sz="4" w:space="0"/>
              <w:left w:val="single" w:color="000000" w:sz="4" w:space="0"/>
              <w:bottom w:val="single" w:color="000000" w:sz="4" w:space="0"/>
              <w:right w:val="single" w:color="000000" w:sz="4" w:space="0"/>
            </w:tcBorders>
            <w:noWrap/>
            <w:vAlign w:val="center"/>
          </w:tcPr>
          <w:p w14:paraId="75B7E563">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113.829009</w:t>
            </w:r>
          </w:p>
        </w:tc>
        <w:tc>
          <w:tcPr>
            <w:tcW w:w="720" w:type="pct"/>
            <w:tcBorders>
              <w:top w:val="single" w:color="000000" w:sz="4" w:space="0"/>
              <w:left w:val="single" w:color="000000" w:sz="4" w:space="0"/>
              <w:bottom w:val="single" w:color="000000" w:sz="4" w:space="0"/>
              <w:right w:val="single" w:color="000000" w:sz="4" w:space="0"/>
            </w:tcBorders>
            <w:noWrap/>
            <w:vAlign w:val="center"/>
          </w:tcPr>
          <w:p w14:paraId="75B7E564">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28.553152</w:t>
            </w:r>
          </w:p>
        </w:tc>
        <w:tc>
          <w:tcPr>
            <w:tcW w:w="358" w:type="pct"/>
            <w:tcBorders>
              <w:top w:val="single" w:color="000000" w:sz="4" w:space="0"/>
              <w:left w:val="single" w:color="000000" w:sz="4" w:space="0"/>
              <w:bottom w:val="single" w:color="000000" w:sz="4" w:space="0"/>
              <w:right w:val="single" w:color="000000" w:sz="4" w:space="0"/>
            </w:tcBorders>
            <w:noWrap/>
            <w:vAlign w:val="center"/>
          </w:tcPr>
          <w:p w14:paraId="75B7E565">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bl>
    <w:p w14:paraId="75B7E567">
      <w:pPr>
        <w:ind w:firstLine="480"/>
        <w:rPr>
          <w:rFonts w:hint="eastAsia"/>
        </w:rPr>
      </w:pPr>
    </w:p>
    <w:p w14:paraId="75B7E568">
      <w:pPr>
        <w:spacing w:line="240" w:lineRule="auto"/>
        <w:ind w:firstLine="0" w:firstLineChars="0"/>
        <w:rPr>
          <w:rFonts w:hint="eastAsia"/>
        </w:rPr>
      </w:pPr>
      <w:r>
        <w:rPr>
          <w:rFonts w:ascii="方正仿宋_GB2312" w:hAnsi="方正仿宋_GB2312" w:eastAsia="方正仿宋_GB2312" w:cs="方正仿宋_GB2312"/>
          <w:sz w:val="28"/>
          <w:szCs w:val="28"/>
        </w:rPr>
        <w:drawing>
          <wp:inline distT="0" distB="0" distL="114300" distR="114300">
            <wp:extent cx="5274310" cy="3079750"/>
            <wp:effectExtent l="0" t="0" r="8890" b="6350"/>
            <wp:docPr id="11" name="图片 11" descr="芦头林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芦头林场"/>
                    <pic:cNvPicPr>
                      <a:picLocks noChangeAspect="1"/>
                    </pic:cNvPicPr>
                  </pic:nvPicPr>
                  <pic:blipFill>
                    <a:blip r:embed="rId52"/>
                    <a:stretch>
                      <a:fillRect/>
                    </a:stretch>
                  </pic:blipFill>
                  <pic:spPr>
                    <a:xfrm>
                      <a:off x="0" y="0"/>
                      <a:ext cx="5274310" cy="3079787"/>
                    </a:xfrm>
                    <a:prstGeom prst="rect">
                      <a:avLst/>
                    </a:prstGeom>
                  </pic:spPr>
                </pic:pic>
              </a:graphicData>
            </a:graphic>
          </wp:inline>
        </w:drawing>
      </w:r>
    </w:p>
    <w:p w14:paraId="75B7E569">
      <w:pPr>
        <w:ind w:firstLine="480"/>
        <w:rPr>
          <w:rFonts w:hint="eastAsia"/>
        </w:rPr>
      </w:pPr>
      <w:r>
        <w:rPr>
          <w:rFonts w:hint="eastAsia"/>
        </w:rPr>
        <w:t>4.岳阳县</w:t>
      </w:r>
    </w:p>
    <w:tbl>
      <w:tblPr>
        <w:tblStyle w:val="38"/>
        <w:tblW w:w="4427" w:type="pct"/>
        <w:jc w:val="center"/>
        <w:tblLayout w:type="fixed"/>
        <w:tblCellMar>
          <w:top w:w="0" w:type="dxa"/>
          <w:left w:w="108" w:type="dxa"/>
          <w:bottom w:w="0" w:type="dxa"/>
          <w:right w:w="108" w:type="dxa"/>
        </w:tblCellMar>
      </w:tblPr>
      <w:tblGrid>
        <w:gridCol w:w="520"/>
        <w:gridCol w:w="852"/>
        <w:gridCol w:w="978"/>
        <w:gridCol w:w="714"/>
        <w:gridCol w:w="1030"/>
        <w:gridCol w:w="1272"/>
        <w:gridCol w:w="1290"/>
        <w:gridCol w:w="703"/>
      </w:tblGrid>
      <w:tr w14:paraId="75B7E573">
        <w:tblPrEx>
          <w:tblCellMar>
            <w:top w:w="0" w:type="dxa"/>
            <w:left w:w="108" w:type="dxa"/>
            <w:bottom w:w="0" w:type="dxa"/>
            <w:right w:w="108" w:type="dxa"/>
          </w:tblCellMar>
        </w:tblPrEx>
        <w:trPr>
          <w:tblHeader/>
          <w:jc w:val="center"/>
        </w:trPr>
        <w:tc>
          <w:tcPr>
            <w:tcW w:w="353"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6A">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序号</w:t>
            </w:r>
          </w:p>
        </w:tc>
        <w:tc>
          <w:tcPr>
            <w:tcW w:w="57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6B">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行政区域</w:t>
            </w:r>
          </w:p>
        </w:tc>
        <w:tc>
          <w:tcPr>
            <w:tcW w:w="663"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6C">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乡镇</w:t>
            </w:r>
          </w:p>
          <w:p w14:paraId="75B7E56D">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（街道）</w:t>
            </w:r>
          </w:p>
        </w:tc>
        <w:tc>
          <w:tcPr>
            <w:tcW w:w="486"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6E">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村</w:t>
            </w:r>
          </w:p>
        </w:tc>
        <w:tc>
          <w:tcPr>
            <w:tcW w:w="699"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6F">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小地名</w:t>
            </w:r>
          </w:p>
        </w:tc>
        <w:tc>
          <w:tcPr>
            <w:tcW w:w="863"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70">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经度</w:t>
            </w:r>
          </w:p>
        </w:tc>
        <w:tc>
          <w:tcPr>
            <w:tcW w:w="875"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71">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纬度</w:t>
            </w:r>
          </w:p>
        </w:tc>
        <w:tc>
          <w:tcPr>
            <w:tcW w:w="47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72">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备注</w:t>
            </w:r>
          </w:p>
        </w:tc>
      </w:tr>
      <w:tr w14:paraId="75B7E57C">
        <w:tblPrEx>
          <w:tblCellMar>
            <w:top w:w="0" w:type="dxa"/>
            <w:left w:w="108" w:type="dxa"/>
            <w:bottom w:w="0" w:type="dxa"/>
            <w:right w:w="108" w:type="dxa"/>
          </w:tblCellMar>
        </w:tblPrEx>
        <w:trPr>
          <w:jc w:val="center"/>
        </w:trPr>
        <w:tc>
          <w:tcPr>
            <w:tcW w:w="353" w:type="pct"/>
            <w:tcBorders>
              <w:top w:val="single" w:color="000000" w:sz="4" w:space="0"/>
              <w:left w:val="single" w:color="000000" w:sz="4" w:space="0"/>
              <w:bottom w:val="single" w:color="000000" w:sz="4" w:space="0"/>
              <w:right w:val="single" w:color="000000" w:sz="4" w:space="0"/>
            </w:tcBorders>
            <w:noWrap/>
            <w:vAlign w:val="center"/>
          </w:tcPr>
          <w:p w14:paraId="75B7E574">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1</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5B7E575">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岳阳县</w:t>
            </w:r>
          </w:p>
        </w:tc>
        <w:tc>
          <w:tcPr>
            <w:tcW w:w="663" w:type="pct"/>
            <w:tcBorders>
              <w:top w:val="single" w:color="000000" w:sz="4" w:space="0"/>
              <w:left w:val="single" w:color="000000" w:sz="4" w:space="0"/>
              <w:bottom w:val="single" w:color="000000" w:sz="4" w:space="0"/>
              <w:right w:val="single" w:color="000000" w:sz="4" w:space="0"/>
            </w:tcBorders>
            <w:noWrap/>
            <w:vAlign w:val="center"/>
          </w:tcPr>
          <w:p w14:paraId="75B7E576">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新开镇</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77">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马店村</w:t>
            </w:r>
          </w:p>
        </w:tc>
        <w:tc>
          <w:tcPr>
            <w:tcW w:w="699" w:type="pct"/>
            <w:tcBorders>
              <w:top w:val="single" w:color="000000" w:sz="4" w:space="0"/>
              <w:left w:val="single" w:color="000000" w:sz="4" w:space="0"/>
              <w:bottom w:val="single" w:color="000000" w:sz="4" w:space="0"/>
              <w:right w:val="single" w:color="000000" w:sz="4" w:space="0"/>
            </w:tcBorders>
            <w:noWrap/>
            <w:vAlign w:val="center"/>
          </w:tcPr>
          <w:p w14:paraId="75B7E578">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张家冲</w:t>
            </w:r>
          </w:p>
        </w:tc>
        <w:tc>
          <w:tcPr>
            <w:tcW w:w="863" w:type="pct"/>
            <w:tcBorders>
              <w:top w:val="single" w:color="000000" w:sz="4" w:space="0"/>
              <w:left w:val="single" w:color="000000" w:sz="4" w:space="0"/>
              <w:bottom w:val="single" w:color="000000" w:sz="4" w:space="0"/>
              <w:right w:val="single" w:color="000000" w:sz="4" w:space="0"/>
            </w:tcBorders>
            <w:noWrap/>
            <w:vAlign w:val="center"/>
          </w:tcPr>
          <w:p w14:paraId="75B7E579">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113.205737</w:t>
            </w:r>
          </w:p>
        </w:tc>
        <w:tc>
          <w:tcPr>
            <w:tcW w:w="875" w:type="pct"/>
            <w:tcBorders>
              <w:top w:val="single" w:color="000000" w:sz="4" w:space="0"/>
              <w:left w:val="single" w:color="000000" w:sz="4" w:space="0"/>
              <w:bottom w:val="single" w:color="000000" w:sz="4" w:space="0"/>
              <w:right w:val="single" w:color="000000" w:sz="4" w:space="0"/>
            </w:tcBorders>
            <w:noWrap/>
            <w:vAlign w:val="center"/>
          </w:tcPr>
          <w:p w14:paraId="75B7E57A">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29.207958</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75B7E57B">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85">
        <w:tblPrEx>
          <w:tblCellMar>
            <w:top w:w="0" w:type="dxa"/>
            <w:left w:w="108" w:type="dxa"/>
            <w:bottom w:w="0" w:type="dxa"/>
            <w:right w:w="108" w:type="dxa"/>
          </w:tblCellMar>
        </w:tblPrEx>
        <w:trPr>
          <w:jc w:val="center"/>
        </w:trPr>
        <w:tc>
          <w:tcPr>
            <w:tcW w:w="353" w:type="pct"/>
            <w:tcBorders>
              <w:top w:val="single" w:color="000000" w:sz="4" w:space="0"/>
              <w:left w:val="single" w:color="000000" w:sz="4" w:space="0"/>
              <w:bottom w:val="single" w:color="000000" w:sz="4" w:space="0"/>
              <w:right w:val="single" w:color="000000" w:sz="4" w:space="0"/>
            </w:tcBorders>
            <w:noWrap/>
            <w:vAlign w:val="center"/>
          </w:tcPr>
          <w:p w14:paraId="75B7E57D">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2</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5B7E57E">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岳阳县</w:t>
            </w:r>
          </w:p>
        </w:tc>
        <w:tc>
          <w:tcPr>
            <w:tcW w:w="663" w:type="pct"/>
            <w:tcBorders>
              <w:top w:val="single" w:color="000000" w:sz="4" w:space="0"/>
              <w:left w:val="single" w:color="000000" w:sz="4" w:space="0"/>
              <w:bottom w:val="single" w:color="000000" w:sz="4" w:space="0"/>
              <w:right w:val="single" w:color="000000" w:sz="4" w:space="0"/>
            </w:tcBorders>
            <w:noWrap/>
            <w:vAlign w:val="center"/>
          </w:tcPr>
          <w:p w14:paraId="75B7E57F">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毛田镇</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80">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云山村</w:t>
            </w:r>
          </w:p>
        </w:tc>
        <w:tc>
          <w:tcPr>
            <w:tcW w:w="699" w:type="pct"/>
            <w:tcBorders>
              <w:top w:val="single" w:color="000000" w:sz="4" w:space="0"/>
              <w:left w:val="single" w:color="000000" w:sz="4" w:space="0"/>
              <w:bottom w:val="single" w:color="000000" w:sz="4" w:space="0"/>
              <w:right w:val="single" w:color="000000" w:sz="4" w:space="0"/>
            </w:tcBorders>
            <w:noWrap/>
            <w:vAlign w:val="center"/>
          </w:tcPr>
          <w:p w14:paraId="75B7E581">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大云山</w:t>
            </w:r>
          </w:p>
        </w:tc>
        <w:tc>
          <w:tcPr>
            <w:tcW w:w="863" w:type="pct"/>
            <w:tcBorders>
              <w:top w:val="single" w:color="000000" w:sz="4" w:space="0"/>
              <w:left w:val="single" w:color="000000" w:sz="4" w:space="0"/>
              <w:bottom w:val="single" w:color="000000" w:sz="4" w:space="0"/>
              <w:right w:val="single" w:color="000000" w:sz="4" w:space="0"/>
            </w:tcBorders>
            <w:noWrap/>
            <w:vAlign w:val="center"/>
          </w:tcPr>
          <w:p w14:paraId="75B7E582">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113.518071</w:t>
            </w:r>
          </w:p>
        </w:tc>
        <w:tc>
          <w:tcPr>
            <w:tcW w:w="875" w:type="pct"/>
            <w:tcBorders>
              <w:top w:val="single" w:color="000000" w:sz="4" w:space="0"/>
              <w:left w:val="single" w:color="000000" w:sz="4" w:space="0"/>
              <w:bottom w:val="single" w:color="000000" w:sz="4" w:space="0"/>
              <w:right w:val="single" w:color="000000" w:sz="4" w:space="0"/>
            </w:tcBorders>
            <w:noWrap/>
            <w:vAlign w:val="center"/>
          </w:tcPr>
          <w:p w14:paraId="75B7E583">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29.265706</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75B7E584">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8E">
        <w:tblPrEx>
          <w:tblCellMar>
            <w:top w:w="0" w:type="dxa"/>
            <w:left w:w="108" w:type="dxa"/>
            <w:bottom w:w="0" w:type="dxa"/>
            <w:right w:w="108" w:type="dxa"/>
          </w:tblCellMar>
        </w:tblPrEx>
        <w:trPr>
          <w:jc w:val="center"/>
        </w:trPr>
        <w:tc>
          <w:tcPr>
            <w:tcW w:w="353" w:type="pct"/>
            <w:tcBorders>
              <w:top w:val="single" w:color="000000" w:sz="4" w:space="0"/>
              <w:left w:val="single" w:color="000000" w:sz="4" w:space="0"/>
              <w:bottom w:val="single" w:color="000000" w:sz="4" w:space="0"/>
              <w:right w:val="single" w:color="000000" w:sz="4" w:space="0"/>
            </w:tcBorders>
            <w:noWrap/>
            <w:vAlign w:val="center"/>
          </w:tcPr>
          <w:p w14:paraId="75B7E586">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3</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5B7E587">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岳阳县</w:t>
            </w:r>
          </w:p>
        </w:tc>
        <w:tc>
          <w:tcPr>
            <w:tcW w:w="663" w:type="pct"/>
            <w:tcBorders>
              <w:top w:val="single" w:color="000000" w:sz="4" w:space="0"/>
              <w:left w:val="single" w:color="000000" w:sz="4" w:space="0"/>
              <w:bottom w:val="single" w:color="000000" w:sz="4" w:space="0"/>
              <w:right w:val="single" w:color="000000" w:sz="4" w:space="0"/>
            </w:tcBorders>
            <w:noWrap/>
            <w:vAlign w:val="center"/>
          </w:tcPr>
          <w:p w14:paraId="75B7E588">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毛田镇</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89">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卢</w:t>
            </w:r>
            <w:r>
              <w:rPr>
                <w:rFonts w:hint="eastAsia" w:ascii="微软雅黑" w:hAnsi="微软雅黑" w:eastAsia="微软雅黑" w:cs="微软雅黑"/>
                <w:sz w:val="21"/>
                <w:szCs w:val="21"/>
                <w:lang w:val="en-US" w:bidi="ar"/>
              </w:rPr>
              <w:t>塅</w:t>
            </w:r>
            <w:r>
              <w:rPr>
                <w:rFonts w:hint="eastAsia" w:ascii="仿宋_GB2312" w:hAnsi="仿宋_GB2312" w:cs="仿宋_GB2312"/>
                <w:sz w:val="21"/>
                <w:szCs w:val="21"/>
                <w:lang w:val="en-US" w:bidi="ar"/>
              </w:rPr>
              <w:t>村</w:t>
            </w:r>
          </w:p>
        </w:tc>
        <w:tc>
          <w:tcPr>
            <w:tcW w:w="699" w:type="pct"/>
            <w:tcBorders>
              <w:top w:val="single" w:color="000000" w:sz="4" w:space="0"/>
              <w:left w:val="single" w:color="000000" w:sz="4" w:space="0"/>
              <w:bottom w:val="single" w:color="000000" w:sz="4" w:space="0"/>
              <w:right w:val="single" w:color="000000" w:sz="4" w:space="0"/>
            </w:tcBorders>
            <w:noWrap/>
            <w:vAlign w:val="center"/>
          </w:tcPr>
          <w:p w14:paraId="75B7E58A">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相思双坡</w:t>
            </w:r>
          </w:p>
        </w:tc>
        <w:tc>
          <w:tcPr>
            <w:tcW w:w="863" w:type="pct"/>
            <w:tcBorders>
              <w:top w:val="single" w:color="000000" w:sz="4" w:space="0"/>
              <w:left w:val="single" w:color="000000" w:sz="4" w:space="0"/>
              <w:bottom w:val="single" w:color="000000" w:sz="4" w:space="0"/>
              <w:right w:val="single" w:color="000000" w:sz="4" w:space="0"/>
            </w:tcBorders>
            <w:noWrap/>
            <w:vAlign w:val="center"/>
          </w:tcPr>
          <w:p w14:paraId="75B7E58B">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113.609722</w:t>
            </w:r>
          </w:p>
        </w:tc>
        <w:tc>
          <w:tcPr>
            <w:tcW w:w="875" w:type="pct"/>
            <w:tcBorders>
              <w:top w:val="single" w:color="000000" w:sz="4" w:space="0"/>
              <w:left w:val="single" w:color="000000" w:sz="4" w:space="0"/>
              <w:bottom w:val="single" w:color="000000" w:sz="4" w:space="0"/>
              <w:right w:val="single" w:color="000000" w:sz="4" w:space="0"/>
            </w:tcBorders>
            <w:noWrap/>
            <w:vAlign w:val="center"/>
          </w:tcPr>
          <w:p w14:paraId="75B7E58C">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29.162778</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75B7E58D">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97">
        <w:tblPrEx>
          <w:tblCellMar>
            <w:top w:w="0" w:type="dxa"/>
            <w:left w:w="108" w:type="dxa"/>
            <w:bottom w:w="0" w:type="dxa"/>
            <w:right w:w="108" w:type="dxa"/>
          </w:tblCellMar>
        </w:tblPrEx>
        <w:trPr>
          <w:jc w:val="center"/>
        </w:trPr>
        <w:tc>
          <w:tcPr>
            <w:tcW w:w="353" w:type="pct"/>
            <w:tcBorders>
              <w:top w:val="single" w:color="000000" w:sz="4" w:space="0"/>
              <w:left w:val="single" w:color="000000" w:sz="4" w:space="0"/>
              <w:bottom w:val="single" w:color="000000" w:sz="4" w:space="0"/>
              <w:right w:val="single" w:color="000000" w:sz="4" w:space="0"/>
            </w:tcBorders>
            <w:noWrap/>
            <w:vAlign w:val="center"/>
          </w:tcPr>
          <w:p w14:paraId="75B7E58F">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4</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5B7E590">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岳阳县</w:t>
            </w:r>
          </w:p>
        </w:tc>
        <w:tc>
          <w:tcPr>
            <w:tcW w:w="663" w:type="pct"/>
            <w:tcBorders>
              <w:top w:val="single" w:color="000000" w:sz="4" w:space="0"/>
              <w:left w:val="single" w:color="000000" w:sz="4" w:space="0"/>
              <w:bottom w:val="single" w:color="000000" w:sz="4" w:space="0"/>
              <w:right w:val="single" w:color="000000" w:sz="4" w:space="0"/>
            </w:tcBorders>
            <w:noWrap/>
            <w:vAlign w:val="center"/>
          </w:tcPr>
          <w:p w14:paraId="75B7E591">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月田镇</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92">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茨洞村</w:t>
            </w:r>
          </w:p>
        </w:tc>
        <w:tc>
          <w:tcPr>
            <w:tcW w:w="699" w:type="pct"/>
            <w:tcBorders>
              <w:top w:val="single" w:color="000000" w:sz="4" w:space="0"/>
              <w:left w:val="single" w:color="000000" w:sz="4" w:space="0"/>
              <w:bottom w:val="single" w:color="000000" w:sz="4" w:space="0"/>
              <w:right w:val="single" w:color="000000" w:sz="4" w:space="0"/>
            </w:tcBorders>
            <w:noWrap/>
            <w:vAlign w:val="center"/>
          </w:tcPr>
          <w:p w14:paraId="75B7E593">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王龙</w:t>
            </w:r>
          </w:p>
        </w:tc>
        <w:tc>
          <w:tcPr>
            <w:tcW w:w="863" w:type="pct"/>
            <w:tcBorders>
              <w:top w:val="single" w:color="000000" w:sz="4" w:space="0"/>
              <w:left w:val="single" w:color="000000" w:sz="4" w:space="0"/>
              <w:bottom w:val="single" w:color="000000" w:sz="4" w:space="0"/>
              <w:right w:val="single" w:color="000000" w:sz="4" w:space="0"/>
            </w:tcBorders>
            <w:noWrap/>
            <w:vAlign w:val="center"/>
          </w:tcPr>
          <w:p w14:paraId="75B7E594">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113.588333</w:t>
            </w:r>
          </w:p>
        </w:tc>
        <w:tc>
          <w:tcPr>
            <w:tcW w:w="875" w:type="pct"/>
            <w:tcBorders>
              <w:top w:val="single" w:color="000000" w:sz="4" w:space="0"/>
              <w:left w:val="single" w:color="000000" w:sz="4" w:space="0"/>
              <w:bottom w:val="single" w:color="000000" w:sz="4" w:space="0"/>
              <w:right w:val="single" w:color="000000" w:sz="4" w:space="0"/>
            </w:tcBorders>
            <w:noWrap/>
            <w:vAlign w:val="center"/>
          </w:tcPr>
          <w:p w14:paraId="75B7E595">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29.044444</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75B7E596">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A0">
        <w:tblPrEx>
          <w:tblCellMar>
            <w:top w:w="0" w:type="dxa"/>
            <w:left w:w="108" w:type="dxa"/>
            <w:bottom w:w="0" w:type="dxa"/>
            <w:right w:w="108" w:type="dxa"/>
          </w:tblCellMar>
        </w:tblPrEx>
        <w:trPr>
          <w:jc w:val="center"/>
        </w:trPr>
        <w:tc>
          <w:tcPr>
            <w:tcW w:w="353" w:type="pct"/>
            <w:tcBorders>
              <w:top w:val="single" w:color="000000" w:sz="4" w:space="0"/>
              <w:left w:val="single" w:color="000000" w:sz="4" w:space="0"/>
              <w:bottom w:val="single" w:color="000000" w:sz="4" w:space="0"/>
              <w:right w:val="single" w:color="000000" w:sz="4" w:space="0"/>
            </w:tcBorders>
            <w:noWrap/>
            <w:vAlign w:val="center"/>
          </w:tcPr>
          <w:p w14:paraId="75B7E598">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5</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5B7E599">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岳阳县</w:t>
            </w:r>
          </w:p>
        </w:tc>
        <w:tc>
          <w:tcPr>
            <w:tcW w:w="663" w:type="pct"/>
            <w:tcBorders>
              <w:top w:val="single" w:color="000000" w:sz="4" w:space="0"/>
              <w:left w:val="single" w:color="000000" w:sz="4" w:space="0"/>
              <w:bottom w:val="single" w:color="000000" w:sz="4" w:space="0"/>
              <w:right w:val="single" w:color="000000" w:sz="4" w:space="0"/>
            </w:tcBorders>
            <w:noWrap/>
            <w:vAlign w:val="center"/>
          </w:tcPr>
          <w:p w14:paraId="75B7E59A">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张谷英镇</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9B">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大峰村</w:t>
            </w:r>
          </w:p>
        </w:tc>
        <w:tc>
          <w:tcPr>
            <w:tcW w:w="699" w:type="pct"/>
            <w:tcBorders>
              <w:top w:val="single" w:color="000000" w:sz="4" w:space="0"/>
              <w:left w:val="single" w:color="000000" w:sz="4" w:space="0"/>
              <w:bottom w:val="single" w:color="000000" w:sz="4" w:space="0"/>
              <w:right w:val="single" w:color="000000" w:sz="4" w:space="0"/>
            </w:tcBorders>
            <w:noWrap/>
            <w:vAlign w:val="center"/>
          </w:tcPr>
          <w:p w14:paraId="75B7E59C">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大峰山</w:t>
            </w:r>
          </w:p>
        </w:tc>
        <w:tc>
          <w:tcPr>
            <w:tcW w:w="863" w:type="pct"/>
            <w:tcBorders>
              <w:top w:val="single" w:color="000000" w:sz="4" w:space="0"/>
              <w:left w:val="single" w:color="000000" w:sz="4" w:space="0"/>
              <w:bottom w:val="single" w:color="000000" w:sz="4" w:space="0"/>
              <w:right w:val="single" w:color="000000" w:sz="4" w:space="0"/>
            </w:tcBorders>
            <w:noWrap/>
            <w:vAlign w:val="center"/>
          </w:tcPr>
          <w:p w14:paraId="75B7E59D">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113.467523</w:t>
            </w:r>
          </w:p>
        </w:tc>
        <w:tc>
          <w:tcPr>
            <w:tcW w:w="875" w:type="pct"/>
            <w:tcBorders>
              <w:top w:val="single" w:color="000000" w:sz="4" w:space="0"/>
              <w:left w:val="single" w:color="000000" w:sz="4" w:space="0"/>
              <w:bottom w:val="single" w:color="000000" w:sz="4" w:space="0"/>
              <w:right w:val="single" w:color="000000" w:sz="4" w:space="0"/>
            </w:tcBorders>
            <w:noWrap/>
            <w:vAlign w:val="center"/>
          </w:tcPr>
          <w:p w14:paraId="75B7E59E">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29.036944</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75B7E59F">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A9">
        <w:tblPrEx>
          <w:tblCellMar>
            <w:top w:w="0" w:type="dxa"/>
            <w:left w:w="108" w:type="dxa"/>
            <w:bottom w:w="0" w:type="dxa"/>
            <w:right w:w="108" w:type="dxa"/>
          </w:tblCellMar>
        </w:tblPrEx>
        <w:trPr>
          <w:jc w:val="center"/>
        </w:trPr>
        <w:tc>
          <w:tcPr>
            <w:tcW w:w="353" w:type="pct"/>
            <w:tcBorders>
              <w:top w:val="single" w:color="000000" w:sz="4" w:space="0"/>
              <w:left w:val="single" w:color="000000" w:sz="4" w:space="0"/>
              <w:bottom w:val="single" w:color="000000" w:sz="4" w:space="0"/>
              <w:right w:val="single" w:color="000000" w:sz="4" w:space="0"/>
            </w:tcBorders>
            <w:noWrap/>
            <w:vAlign w:val="center"/>
          </w:tcPr>
          <w:p w14:paraId="75B7E5A1">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6</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5B7E5A2">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岳阳县</w:t>
            </w:r>
          </w:p>
        </w:tc>
        <w:tc>
          <w:tcPr>
            <w:tcW w:w="663" w:type="pct"/>
            <w:tcBorders>
              <w:top w:val="single" w:color="000000" w:sz="4" w:space="0"/>
              <w:left w:val="single" w:color="000000" w:sz="4" w:space="0"/>
              <w:bottom w:val="single" w:color="000000" w:sz="4" w:space="0"/>
              <w:right w:val="single" w:color="000000" w:sz="4" w:space="0"/>
            </w:tcBorders>
            <w:noWrap/>
            <w:vAlign w:val="center"/>
          </w:tcPr>
          <w:p w14:paraId="75B7E5A3">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月田镇</w:t>
            </w:r>
          </w:p>
        </w:tc>
        <w:tc>
          <w:tcPr>
            <w:tcW w:w="486" w:type="pct"/>
            <w:tcBorders>
              <w:top w:val="single" w:color="000000" w:sz="4" w:space="0"/>
              <w:left w:val="single" w:color="000000" w:sz="4" w:space="0"/>
              <w:bottom w:val="single" w:color="000000" w:sz="4" w:space="0"/>
              <w:right w:val="single" w:color="000000" w:sz="4" w:space="0"/>
            </w:tcBorders>
            <w:noWrap/>
            <w:vAlign w:val="center"/>
          </w:tcPr>
          <w:p w14:paraId="75B7E5A4">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稻田村</w:t>
            </w:r>
          </w:p>
        </w:tc>
        <w:tc>
          <w:tcPr>
            <w:tcW w:w="699" w:type="pct"/>
            <w:tcBorders>
              <w:top w:val="single" w:color="000000" w:sz="4" w:space="0"/>
              <w:left w:val="single" w:color="000000" w:sz="4" w:space="0"/>
              <w:bottom w:val="single" w:color="000000" w:sz="4" w:space="0"/>
              <w:right w:val="single" w:color="000000" w:sz="4" w:space="0"/>
            </w:tcBorders>
            <w:noWrap/>
            <w:vAlign w:val="center"/>
          </w:tcPr>
          <w:p w14:paraId="75B7E5A5">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国庆</w:t>
            </w:r>
          </w:p>
        </w:tc>
        <w:tc>
          <w:tcPr>
            <w:tcW w:w="863" w:type="pct"/>
            <w:tcBorders>
              <w:top w:val="single" w:color="000000" w:sz="4" w:space="0"/>
              <w:left w:val="single" w:color="000000" w:sz="4" w:space="0"/>
              <w:bottom w:val="single" w:color="000000" w:sz="4" w:space="0"/>
              <w:right w:val="single" w:color="000000" w:sz="4" w:space="0"/>
            </w:tcBorders>
            <w:noWrap/>
            <w:vAlign w:val="center"/>
          </w:tcPr>
          <w:p w14:paraId="75B7E5A6">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113.366111</w:t>
            </w:r>
          </w:p>
        </w:tc>
        <w:tc>
          <w:tcPr>
            <w:tcW w:w="875" w:type="pct"/>
            <w:tcBorders>
              <w:top w:val="single" w:color="000000" w:sz="4" w:space="0"/>
              <w:left w:val="single" w:color="000000" w:sz="4" w:space="0"/>
              <w:bottom w:val="single" w:color="000000" w:sz="4" w:space="0"/>
              <w:right w:val="single" w:color="000000" w:sz="4" w:space="0"/>
            </w:tcBorders>
            <w:noWrap/>
            <w:vAlign w:val="center"/>
          </w:tcPr>
          <w:p w14:paraId="75B7E5A7">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28.993611</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75B7E5A8">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bl>
    <w:p w14:paraId="75B7E5AA">
      <w:pPr>
        <w:ind w:firstLine="480"/>
        <w:rPr>
          <w:rFonts w:hint="eastAsia"/>
        </w:rPr>
      </w:pPr>
    </w:p>
    <w:p w14:paraId="75B7E5AB">
      <w:pPr>
        <w:spacing w:line="240" w:lineRule="auto"/>
        <w:ind w:firstLine="0" w:firstLineChars="0"/>
        <w:rPr>
          <w:rFonts w:hint="eastAsia"/>
        </w:rPr>
      </w:pPr>
      <w:r>
        <w:rPr>
          <w:rFonts w:ascii="方正仿宋_GB2312" w:hAnsi="方正仿宋_GB2312" w:eastAsia="方正仿宋_GB2312" w:cs="方正仿宋_GB2312"/>
          <w:sz w:val="28"/>
          <w:szCs w:val="28"/>
        </w:rPr>
        <w:drawing>
          <wp:inline distT="0" distB="0" distL="114300" distR="114300">
            <wp:extent cx="5274310" cy="3079750"/>
            <wp:effectExtent l="0" t="0" r="8890" b="6350"/>
            <wp:docPr id="13" name="图片 13" descr="岳阳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岳阳县"/>
                    <pic:cNvPicPr>
                      <a:picLocks noChangeAspect="1"/>
                    </pic:cNvPicPr>
                  </pic:nvPicPr>
                  <pic:blipFill>
                    <a:blip r:embed="rId53"/>
                    <a:stretch>
                      <a:fillRect/>
                    </a:stretch>
                  </pic:blipFill>
                  <pic:spPr>
                    <a:xfrm>
                      <a:off x="0" y="0"/>
                      <a:ext cx="5274310" cy="3079787"/>
                    </a:xfrm>
                    <a:prstGeom prst="rect">
                      <a:avLst/>
                    </a:prstGeom>
                  </pic:spPr>
                </pic:pic>
              </a:graphicData>
            </a:graphic>
          </wp:inline>
        </w:drawing>
      </w:r>
    </w:p>
    <w:p w14:paraId="75B7E5AC">
      <w:pPr>
        <w:ind w:firstLine="480"/>
        <w:rPr>
          <w:rFonts w:hint="eastAsia"/>
        </w:rPr>
      </w:pPr>
      <w:r>
        <w:rPr>
          <w:rFonts w:hint="eastAsia"/>
        </w:rPr>
        <w:t>5.临湘市</w:t>
      </w:r>
    </w:p>
    <w:tbl>
      <w:tblPr>
        <w:tblStyle w:val="38"/>
        <w:tblW w:w="4409" w:type="pct"/>
        <w:jc w:val="center"/>
        <w:tblLayout w:type="fixed"/>
        <w:tblCellMar>
          <w:top w:w="0" w:type="dxa"/>
          <w:left w:w="108" w:type="dxa"/>
          <w:bottom w:w="0" w:type="dxa"/>
          <w:right w:w="108" w:type="dxa"/>
        </w:tblCellMar>
      </w:tblPr>
      <w:tblGrid>
        <w:gridCol w:w="478"/>
        <w:gridCol w:w="763"/>
        <w:gridCol w:w="763"/>
        <w:gridCol w:w="902"/>
        <w:gridCol w:w="1067"/>
        <w:gridCol w:w="1434"/>
        <w:gridCol w:w="1248"/>
        <w:gridCol w:w="675"/>
      </w:tblGrid>
      <w:tr w14:paraId="75B7E5B6">
        <w:tblPrEx>
          <w:tblCellMar>
            <w:top w:w="0" w:type="dxa"/>
            <w:left w:w="108" w:type="dxa"/>
            <w:bottom w:w="0" w:type="dxa"/>
            <w:right w:w="108" w:type="dxa"/>
          </w:tblCellMar>
        </w:tblPrEx>
        <w:trPr>
          <w:tblHeader/>
          <w:jc w:val="center"/>
        </w:trPr>
        <w:tc>
          <w:tcPr>
            <w:tcW w:w="326"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AD">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序号</w:t>
            </w:r>
          </w:p>
        </w:tc>
        <w:tc>
          <w:tcPr>
            <w:tcW w:w="520"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AE">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行政区域</w:t>
            </w:r>
          </w:p>
        </w:tc>
        <w:tc>
          <w:tcPr>
            <w:tcW w:w="520"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AF">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乡镇</w:t>
            </w:r>
          </w:p>
          <w:p w14:paraId="75B7E5B0">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（街道）</w:t>
            </w:r>
          </w:p>
        </w:tc>
        <w:tc>
          <w:tcPr>
            <w:tcW w:w="615"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B1">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村</w:t>
            </w:r>
          </w:p>
        </w:tc>
        <w:tc>
          <w:tcPr>
            <w:tcW w:w="72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B2">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小地名</w:t>
            </w:r>
          </w:p>
        </w:tc>
        <w:tc>
          <w:tcPr>
            <w:tcW w:w="97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B3">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经度</w:t>
            </w:r>
          </w:p>
        </w:tc>
        <w:tc>
          <w:tcPr>
            <w:tcW w:w="852"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B4">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纬度</w:t>
            </w:r>
          </w:p>
        </w:tc>
        <w:tc>
          <w:tcPr>
            <w:tcW w:w="461"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B5">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备注</w:t>
            </w:r>
          </w:p>
        </w:tc>
      </w:tr>
      <w:tr w14:paraId="75B7E5BF">
        <w:tblPrEx>
          <w:tblCellMar>
            <w:top w:w="0" w:type="dxa"/>
            <w:left w:w="108" w:type="dxa"/>
            <w:bottom w:w="0" w:type="dxa"/>
            <w:right w:w="108" w:type="dxa"/>
          </w:tblCellMar>
        </w:tblPrEx>
        <w:trPr>
          <w:jc w:val="center"/>
        </w:trPr>
        <w:tc>
          <w:tcPr>
            <w:tcW w:w="326" w:type="pct"/>
            <w:tcBorders>
              <w:top w:val="single" w:color="000000" w:sz="4" w:space="0"/>
              <w:left w:val="single" w:color="000000" w:sz="4" w:space="0"/>
              <w:bottom w:val="single" w:color="000000" w:sz="4" w:space="0"/>
              <w:right w:val="single" w:color="000000" w:sz="4" w:space="0"/>
            </w:tcBorders>
            <w:noWrap/>
            <w:vAlign w:val="center"/>
          </w:tcPr>
          <w:p w14:paraId="75B7E5B7">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1</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B8">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临湘市</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B9">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聂市镇</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75B7E5BA">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红士村</w:t>
            </w:r>
          </w:p>
        </w:tc>
        <w:tc>
          <w:tcPr>
            <w:tcW w:w="728" w:type="pct"/>
            <w:tcBorders>
              <w:top w:val="single" w:color="000000" w:sz="4" w:space="0"/>
              <w:left w:val="single" w:color="000000" w:sz="4" w:space="0"/>
              <w:bottom w:val="single" w:color="000000" w:sz="4" w:space="0"/>
              <w:right w:val="single" w:color="000000" w:sz="4" w:space="0"/>
            </w:tcBorders>
            <w:noWrap/>
            <w:vAlign w:val="center"/>
          </w:tcPr>
          <w:p w14:paraId="75B7E5BB">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民主村</w:t>
            </w:r>
          </w:p>
        </w:tc>
        <w:tc>
          <w:tcPr>
            <w:tcW w:w="978" w:type="pct"/>
            <w:tcBorders>
              <w:top w:val="single" w:color="000000" w:sz="4" w:space="0"/>
              <w:left w:val="single" w:color="000000" w:sz="4" w:space="0"/>
              <w:bottom w:val="single" w:color="000000" w:sz="4" w:space="0"/>
              <w:right w:val="single" w:color="000000" w:sz="4" w:space="0"/>
            </w:tcBorders>
            <w:noWrap/>
            <w:vAlign w:val="center"/>
          </w:tcPr>
          <w:p w14:paraId="75B7E5BC">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113.426501</w:t>
            </w:r>
          </w:p>
        </w:tc>
        <w:tc>
          <w:tcPr>
            <w:tcW w:w="852" w:type="pct"/>
            <w:tcBorders>
              <w:top w:val="single" w:color="000000" w:sz="4" w:space="0"/>
              <w:left w:val="single" w:color="000000" w:sz="4" w:space="0"/>
              <w:bottom w:val="single" w:color="000000" w:sz="4" w:space="0"/>
              <w:right w:val="single" w:color="000000" w:sz="4" w:space="0"/>
            </w:tcBorders>
            <w:noWrap/>
            <w:vAlign w:val="center"/>
          </w:tcPr>
          <w:p w14:paraId="75B7E5BD">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29.565727</w:t>
            </w:r>
          </w:p>
        </w:tc>
        <w:tc>
          <w:tcPr>
            <w:tcW w:w="461" w:type="pct"/>
            <w:tcBorders>
              <w:top w:val="single" w:color="000000" w:sz="4" w:space="0"/>
              <w:left w:val="single" w:color="000000" w:sz="4" w:space="0"/>
              <w:bottom w:val="single" w:color="000000" w:sz="4" w:space="0"/>
              <w:right w:val="single" w:color="000000" w:sz="4" w:space="0"/>
            </w:tcBorders>
            <w:noWrap/>
            <w:vAlign w:val="center"/>
          </w:tcPr>
          <w:p w14:paraId="75B7E5BE">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C8">
        <w:tblPrEx>
          <w:tblCellMar>
            <w:top w:w="0" w:type="dxa"/>
            <w:left w:w="108" w:type="dxa"/>
            <w:bottom w:w="0" w:type="dxa"/>
            <w:right w:w="108" w:type="dxa"/>
          </w:tblCellMar>
        </w:tblPrEx>
        <w:trPr>
          <w:jc w:val="center"/>
        </w:trPr>
        <w:tc>
          <w:tcPr>
            <w:tcW w:w="326" w:type="pct"/>
            <w:tcBorders>
              <w:top w:val="single" w:color="000000" w:sz="4" w:space="0"/>
              <w:left w:val="single" w:color="000000" w:sz="4" w:space="0"/>
              <w:bottom w:val="single" w:color="000000" w:sz="4" w:space="0"/>
              <w:right w:val="single" w:color="000000" w:sz="4" w:space="0"/>
            </w:tcBorders>
            <w:noWrap/>
            <w:vAlign w:val="center"/>
          </w:tcPr>
          <w:p w14:paraId="75B7E5C0">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2</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C1">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临湘市</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C2">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长安街道</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75B7E5C3">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三角坪社区</w:t>
            </w:r>
          </w:p>
        </w:tc>
        <w:tc>
          <w:tcPr>
            <w:tcW w:w="728" w:type="pct"/>
            <w:tcBorders>
              <w:top w:val="single" w:color="000000" w:sz="4" w:space="0"/>
              <w:left w:val="single" w:color="000000" w:sz="4" w:space="0"/>
              <w:bottom w:val="single" w:color="000000" w:sz="4" w:space="0"/>
              <w:right w:val="single" w:color="000000" w:sz="4" w:space="0"/>
            </w:tcBorders>
            <w:noWrap/>
            <w:vAlign w:val="center"/>
          </w:tcPr>
          <w:p w14:paraId="75B7E5C4">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五尖山</w:t>
            </w:r>
          </w:p>
        </w:tc>
        <w:tc>
          <w:tcPr>
            <w:tcW w:w="978" w:type="pct"/>
            <w:tcBorders>
              <w:top w:val="single" w:color="000000" w:sz="4" w:space="0"/>
              <w:left w:val="single" w:color="000000" w:sz="4" w:space="0"/>
              <w:bottom w:val="single" w:color="000000" w:sz="4" w:space="0"/>
              <w:right w:val="single" w:color="000000" w:sz="4" w:space="0"/>
            </w:tcBorders>
            <w:noWrap/>
            <w:vAlign w:val="center"/>
          </w:tcPr>
          <w:p w14:paraId="75B7E5C5">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113.401944</w:t>
            </w:r>
          </w:p>
        </w:tc>
        <w:tc>
          <w:tcPr>
            <w:tcW w:w="852" w:type="pct"/>
            <w:tcBorders>
              <w:top w:val="single" w:color="000000" w:sz="4" w:space="0"/>
              <w:left w:val="single" w:color="000000" w:sz="4" w:space="0"/>
              <w:bottom w:val="single" w:color="000000" w:sz="4" w:space="0"/>
              <w:right w:val="single" w:color="000000" w:sz="4" w:space="0"/>
            </w:tcBorders>
            <w:noWrap/>
            <w:vAlign w:val="center"/>
          </w:tcPr>
          <w:p w14:paraId="75B7E5C6">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29.480001</w:t>
            </w:r>
          </w:p>
        </w:tc>
        <w:tc>
          <w:tcPr>
            <w:tcW w:w="461" w:type="pct"/>
            <w:tcBorders>
              <w:top w:val="single" w:color="000000" w:sz="4" w:space="0"/>
              <w:left w:val="single" w:color="000000" w:sz="4" w:space="0"/>
              <w:bottom w:val="single" w:color="000000" w:sz="4" w:space="0"/>
              <w:right w:val="single" w:color="000000" w:sz="4" w:space="0"/>
            </w:tcBorders>
            <w:noWrap/>
            <w:vAlign w:val="center"/>
          </w:tcPr>
          <w:p w14:paraId="75B7E5C7">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D1">
        <w:tblPrEx>
          <w:tblCellMar>
            <w:top w:w="0" w:type="dxa"/>
            <w:left w:w="108" w:type="dxa"/>
            <w:bottom w:w="0" w:type="dxa"/>
            <w:right w:w="108" w:type="dxa"/>
          </w:tblCellMar>
        </w:tblPrEx>
        <w:trPr>
          <w:jc w:val="center"/>
        </w:trPr>
        <w:tc>
          <w:tcPr>
            <w:tcW w:w="326" w:type="pct"/>
            <w:tcBorders>
              <w:top w:val="single" w:color="000000" w:sz="4" w:space="0"/>
              <w:left w:val="single" w:color="000000" w:sz="4" w:space="0"/>
              <w:bottom w:val="single" w:color="000000" w:sz="4" w:space="0"/>
              <w:right w:val="single" w:color="000000" w:sz="4" w:space="0"/>
            </w:tcBorders>
            <w:noWrap/>
            <w:vAlign w:val="center"/>
          </w:tcPr>
          <w:p w14:paraId="75B7E5C9">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3</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CA">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临湘市</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CB">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桃林镇</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75B7E5CC">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白石村</w:t>
            </w:r>
          </w:p>
        </w:tc>
        <w:tc>
          <w:tcPr>
            <w:tcW w:w="728" w:type="pct"/>
            <w:tcBorders>
              <w:top w:val="single" w:color="000000" w:sz="4" w:space="0"/>
              <w:left w:val="single" w:color="000000" w:sz="4" w:space="0"/>
              <w:bottom w:val="single" w:color="000000" w:sz="4" w:space="0"/>
              <w:right w:val="single" w:color="000000" w:sz="4" w:space="0"/>
            </w:tcBorders>
            <w:noWrap/>
            <w:vAlign w:val="center"/>
          </w:tcPr>
          <w:p w14:paraId="75B7E5CD">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白石</w:t>
            </w:r>
          </w:p>
        </w:tc>
        <w:tc>
          <w:tcPr>
            <w:tcW w:w="978" w:type="pct"/>
            <w:tcBorders>
              <w:top w:val="single" w:color="000000" w:sz="4" w:space="0"/>
              <w:left w:val="single" w:color="000000" w:sz="4" w:space="0"/>
              <w:bottom w:val="single" w:color="000000" w:sz="4" w:space="0"/>
              <w:right w:val="single" w:color="000000" w:sz="4" w:space="0"/>
            </w:tcBorders>
            <w:noWrap/>
            <w:vAlign w:val="center"/>
          </w:tcPr>
          <w:p w14:paraId="75B7E5CE">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113.364402</w:t>
            </w:r>
          </w:p>
        </w:tc>
        <w:tc>
          <w:tcPr>
            <w:tcW w:w="852" w:type="pct"/>
            <w:tcBorders>
              <w:top w:val="single" w:color="000000" w:sz="4" w:space="0"/>
              <w:left w:val="single" w:color="000000" w:sz="4" w:space="0"/>
              <w:bottom w:val="single" w:color="000000" w:sz="4" w:space="0"/>
              <w:right w:val="single" w:color="000000" w:sz="4" w:space="0"/>
            </w:tcBorders>
            <w:noWrap/>
            <w:vAlign w:val="center"/>
          </w:tcPr>
          <w:p w14:paraId="75B7E5CF">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29.411318</w:t>
            </w:r>
          </w:p>
        </w:tc>
        <w:tc>
          <w:tcPr>
            <w:tcW w:w="461" w:type="pct"/>
            <w:tcBorders>
              <w:top w:val="single" w:color="000000" w:sz="4" w:space="0"/>
              <w:left w:val="single" w:color="000000" w:sz="4" w:space="0"/>
              <w:bottom w:val="single" w:color="000000" w:sz="4" w:space="0"/>
              <w:right w:val="single" w:color="000000" w:sz="4" w:space="0"/>
            </w:tcBorders>
            <w:noWrap/>
            <w:vAlign w:val="center"/>
          </w:tcPr>
          <w:p w14:paraId="75B7E5D0">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DA">
        <w:tblPrEx>
          <w:tblCellMar>
            <w:top w:w="0" w:type="dxa"/>
            <w:left w:w="108" w:type="dxa"/>
            <w:bottom w:w="0" w:type="dxa"/>
            <w:right w:w="108" w:type="dxa"/>
          </w:tblCellMar>
        </w:tblPrEx>
        <w:trPr>
          <w:jc w:val="center"/>
        </w:trPr>
        <w:tc>
          <w:tcPr>
            <w:tcW w:w="326" w:type="pct"/>
            <w:tcBorders>
              <w:top w:val="single" w:color="000000" w:sz="4" w:space="0"/>
              <w:left w:val="single" w:color="000000" w:sz="4" w:space="0"/>
              <w:bottom w:val="single" w:color="000000" w:sz="4" w:space="0"/>
              <w:right w:val="single" w:color="000000" w:sz="4" w:space="0"/>
            </w:tcBorders>
            <w:noWrap/>
            <w:vAlign w:val="center"/>
          </w:tcPr>
          <w:p w14:paraId="75B7E5D2">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4</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D3">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临湘市</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D4">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詹桥镇</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75B7E5D5">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长浩村</w:t>
            </w:r>
          </w:p>
        </w:tc>
        <w:tc>
          <w:tcPr>
            <w:tcW w:w="728" w:type="pct"/>
            <w:tcBorders>
              <w:top w:val="single" w:color="000000" w:sz="4" w:space="0"/>
              <w:left w:val="single" w:color="000000" w:sz="4" w:space="0"/>
              <w:bottom w:val="single" w:color="000000" w:sz="4" w:space="0"/>
              <w:right w:val="single" w:color="000000" w:sz="4" w:space="0"/>
            </w:tcBorders>
            <w:noWrap/>
            <w:vAlign w:val="center"/>
          </w:tcPr>
          <w:p w14:paraId="75B7E5D6">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长浩</w:t>
            </w:r>
          </w:p>
        </w:tc>
        <w:tc>
          <w:tcPr>
            <w:tcW w:w="978" w:type="pct"/>
            <w:tcBorders>
              <w:top w:val="single" w:color="000000" w:sz="4" w:space="0"/>
              <w:left w:val="single" w:color="000000" w:sz="4" w:space="0"/>
              <w:bottom w:val="single" w:color="000000" w:sz="4" w:space="0"/>
              <w:right w:val="single" w:color="000000" w:sz="4" w:space="0"/>
            </w:tcBorders>
            <w:noWrap/>
            <w:vAlign w:val="center"/>
          </w:tcPr>
          <w:p w14:paraId="75B7E5D7">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113.606396</w:t>
            </w:r>
          </w:p>
        </w:tc>
        <w:tc>
          <w:tcPr>
            <w:tcW w:w="852" w:type="pct"/>
            <w:tcBorders>
              <w:top w:val="single" w:color="000000" w:sz="4" w:space="0"/>
              <w:left w:val="single" w:color="000000" w:sz="4" w:space="0"/>
              <w:bottom w:val="single" w:color="000000" w:sz="4" w:space="0"/>
              <w:right w:val="single" w:color="000000" w:sz="4" w:space="0"/>
            </w:tcBorders>
            <w:noWrap/>
            <w:vAlign w:val="center"/>
          </w:tcPr>
          <w:p w14:paraId="75B7E5D8">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29.373811</w:t>
            </w:r>
          </w:p>
        </w:tc>
        <w:tc>
          <w:tcPr>
            <w:tcW w:w="461" w:type="pct"/>
            <w:tcBorders>
              <w:top w:val="single" w:color="000000" w:sz="4" w:space="0"/>
              <w:left w:val="single" w:color="000000" w:sz="4" w:space="0"/>
              <w:bottom w:val="single" w:color="000000" w:sz="4" w:space="0"/>
              <w:right w:val="single" w:color="000000" w:sz="4" w:space="0"/>
            </w:tcBorders>
            <w:noWrap/>
            <w:vAlign w:val="center"/>
          </w:tcPr>
          <w:p w14:paraId="75B7E5D9">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E3">
        <w:tblPrEx>
          <w:tblCellMar>
            <w:top w:w="0" w:type="dxa"/>
            <w:left w:w="108" w:type="dxa"/>
            <w:bottom w:w="0" w:type="dxa"/>
            <w:right w:w="108" w:type="dxa"/>
          </w:tblCellMar>
        </w:tblPrEx>
        <w:trPr>
          <w:jc w:val="center"/>
        </w:trPr>
        <w:tc>
          <w:tcPr>
            <w:tcW w:w="326" w:type="pct"/>
            <w:tcBorders>
              <w:top w:val="single" w:color="000000" w:sz="4" w:space="0"/>
              <w:left w:val="single" w:color="000000" w:sz="4" w:space="0"/>
              <w:bottom w:val="single" w:color="000000" w:sz="4" w:space="0"/>
              <w:right w:val="single" w:color="000000" w:sz="4" w:space="0"/>
            </w:tcBorders>
            <w:noWrap/>
            <w:vAlign w:val="center"/>
          </w:tcPr>
          <w:p w14:paraId="75B7E5DB">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5</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DC">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临湘市</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DD">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羊楼司镇</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75B7E5DE">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龙窖山村</w:t>
            </w:r>
          </w:p>
        </w:tc>
        <w:tc>
          <w:tcPr>
            <w:tcW w:w="728" w:type="pct"/>
            <w:tcBorders>
              <w:top w:val="single" w:color="000000" w:sz="4" w:space="0"/>
              <w:left w:val="single" w:color="000000" w:sz="4" w:space="0"/>
              <w:bottom w:val="single" w:color="000000" w:sz="4" w:space="0"/>
              <w:right w:val="single" w:color="000000" w:sz="4" w:space="0"/>
            </w:tcBorders>
            <w:noWrap/>
            <w:vAlign w:val="center"/>
          </w:tcPr>
          <w:p w14:paraId="75B7E5DF">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龙源村委会</w:t>
            </w:r>
          </w:p>
        </w:tc>
        <w:tc>
          <w:tcPr>
            <w:tcW w:w="978" w:type="pct"/>
            <w:tcBorders>
              <w:top w:val="single" w:color="000000" w:sz="4" w:space="0"/>
              <w:left w:val="single" w:color="000000" w:sz="4" w:space="0"/>
              <w:bottom w:val="single" w:color="000000" w:sz="4" w:space="0"/>
              <w:right w:val="single" w:color="000000" w:sz="4" w:space="0"/>
            </w:tcBorders>
            <w:noWrap/>
            <w:vAlign w:val="center"/>
          </w:tcPr>
          <w:p w14:paraId="75B7E5E0">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113.702236</w:t>
            </w:r>
          </w:p>
        </w:tc>
        <w:tc>
          <w:tcPr>
            <w:tcW w:w="852" w:type="pct"/>
            <w:tcBorders>
              <w:top w:val="single" w:color="000000" w:sz="4" w:space="0"/>
              <w:left w:val="single" w:color="000000" w:sz="4" w:space="0"/>
              <w:bottom w:val="single" w:color="000000" w:sz="4" w:space="0"/>
              <w:right w:val="single" w:color="000000" w:sz="4" w:space="0"/>
            </w:tcBorders>
            <w:noWrap/>
            <w:vAlign w:val="center"/>
          </w:tcPr>
          <w:p w14:paraId="75B7E5E1">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29.424451</w:t>
            </w:r>
          </w:p>
        </w:tc>
        <w:tc>
          <w:tcPr>
            <w:tcW w:w="461" w:type="pct"/>
            <w:tcBorders>
              <w:top w:val="single" w:color="000000" w:sz="4" w:space="0"/>
              <w:left w:val="single" w:color="000000" w:sz="4" w:space="0"/>
              <w:bottom w:val="single" w:color="000000" w:sz="4" w:space="0"/>
              <w:right w:val="single" w:color="000000" w:sz="4" w:space="0"/>
            </w:tcBorders>
            <w:noWrap/>
            <w:vAlign w:val="center"/>
          </w:tcPr>
          <w:p w14:paraId="75B7E5E2">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EC">
        <w:tblPrEx>
          <w:tblCellMar>
            <w:top w:w="0" w:type="dxa"/>
            <w:left w:w="108" w:type="dxa"/>
            <w:bottom w:w="0" w:type="dxa"/>
            <w:right w:w="108" w:type="dxa"/>
          </w:tblCellMar>
        </w:tblPrEx>
        <w:trPr>
          <w:jc w:val="center"/>
        </w:trPr>
        <w:tc>
          <w:tcPr>
            <w:tcW w:w="326" w:type="pct"/>
            <w:tcBorders>
              <w:top w:val="single" w:color="000000" w:sz="4" w:space="0"/>
              <w:left w:val="single" w:color="000000" w:sz="4" w:space="0"/>
              <w:bottom w:val="single" w:color="000000" w:sz="4" w:space="0"/>
              <w:right w:val="single" w:color="000000" w:sz="4" w:space="0"/>
            </w:tcBorders>
            <w:noWrap/>
            <w:vAlign w:val="center"/>
          </w:tcPr>
          <w:p w14:paraId="75B7E5E4">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6</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E5">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临湘市</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E6">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羊楼司镇</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75B7E5E7">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龙窖山村</w:t>
            </w:r>
          </w:p>
        </w:tc>
        <w:tc>
          <w:tcPr>
            <w:tcW w:w="728" w:type="pct"/>
            <w:tcBorders>
              <w:top w:val="single" w:color="000000" w:sz="4" w:space="0"/>
              <w:left w:val="single" w:color="000000" w:sz="4" w:space="0"/>
              <w:bottom w:val="single" w:color="000000" w:sz="4" w:space="0"/>
              <w:right w:val="single" w:color="000000" w:sz="4" w:space="0"/>
            </w:tcBorders>
            <w:noWrap/>
            <w:vAlign w:val="center"/>
          </w:tcPr>
          <w:p w14:paraId="75B7E5E8">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文白</w:t>
            </w:r>
          </w:p>
        </w:tc>
        <w:tc>
          <w:tcPr>
            <w:tcW w:w="978" w:type="pct"/>
            <w:tcBorders>
              <w:top w:val="single" w:color="000000" w:sz="4" w:space="0"/>
              <w:left w:val="single" w:color="000000" w:sz="4" w:space="0"/>
              <w:bottom w:val="single" w:color="000000" w:sz="4" w:space="0"/>
              <w:right w:val="single" w:color="000000" w:sz="4" w:space="0"/>
            </w:tcBorders>
            <w:noWrap/>
            <w:vAlign w:val="center"/>
          </w:tcPr>
          <w:p w14:paraId="75B7E5E9">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113.642056</w:t>
            </w:r>
          </w:p>
        </w:tc>
        <w:tc>
          <w:tcPr>
            <w:tcW w:w="852" w:type="pct"/>
            <w:tcBorders>
              <w:top w:val="single" w:color="000000" w:sz="4" w:space="0"/>
              <w:left w:val="single" w:color="000000" w:sz="4" w:space="0"/>
              <w:bottom w:val="single" w:color="000000" w:sz="4" w:space="0"/>
              <w:right w:val="single" w:color="000000" w:sz="4" w:space="0"/>
            </w:tcBorders>
            <w:noWrap/>
            <w:vAlign w:val="center"/>
          </w:tcPr>
          <w:p w14:paraId="75B7E5EA">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29.478052</w:t>
            </w:r>
          </w:p>
        </w:tc>
        <w:tc>
          <w:tcPr>
            <w:tcW w:w="461" w:type="pct"/>
            <w:tcBorders>
              <w:top w:val="single" w:color="000000" w:sz="4" w:space="0"/>
              <w:left w:val="single" w:color="000000" w:sz="4" w:space="0"/>
              <w:bottom w:val="single" w:color="000000" w:sz="4" w:space="0"/>
              <w:right w:val="single" w:color="000000" w:sz="4" w:space="0"/>
            </w:tcBorders>
            <w:noWrap/>
            <w:vAlign w:val="center"/>
          </w:tcPr>
          <w:p w14:paraId="75B7E5EB">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5F5">
        <w:tblPrEx>
          <w:tblCellMar>
            <w:top w:w="0" w:type="dxa"/>
            <w:left w:w="108" w:type="dxa"/>
            <w:bottom w:w="0" w:type="dxa"/>
            <w:right w:w="108" w:type="dxa"/>
          </w:tblCellMar>
        </w:tblPrEx>
        <w:trPr>
          <w:jc w:val="center"/>
        </w:trPr>
        <w:tc>
          <w:tcPr>
            <w:tcW w:w="326" w:type="pct"/>
            <w:tcBorders>
              <w:top w:val="single" w:color="000000" w:sz="4" w:space="0"/>
              <w:left w:val="single" w:color="000000" w:sz="4" w:space="0"/>
              <w:bottom w:val="single" w:color="000000" w:sz="4" w:space="0"/>
              <w:right w:val="single" w:color="000000" w:sz="4" w:space="0"/>
            </w:tcBorders>
            <w:noWrap/>
            <w:vAlign w:val="center"/>
          </w:tcPr>
          <w:p w14:paraId="75B7E5ED">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7</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EE">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临湘市</w:t>
            </w:r>
          </w:p>
        </w:tc>
        <w:tc>
          <w:tcPr>
            <w:tcW w:w="520" w:type="pct"/>
            <w:tcBorders>
              <w:top w:val="single" w:color="000000" w:sz="4" w:space="0"/>
              <w:left w:val="single" w:color="000000" w:sz="4" w:space="0"/>
              <w:bottom w:val="single" w:color="000000" w:sz="4" w:space="0"/>
              <w:right w:val="single" w:color="000000" w:sz="4" w:space="0"/>
            </w:tcBorders>
            <w:noWrap/>
            <w:vAlign w:val="center"/>
          </w:tcPr>
          <w:p w14:paraId="75B7E5EF">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羊楼司镇</w:t>
            </w:r>
          </w:p>
        </w:tc>
        <w:tc>
          <w:tcPr>
            <w:tcW w:w="615" w:type="pct"/>
            <w:tcBorders>
              <w:top w:val="single" w:color="000000" w:sz="4" w:space="0"/>
              <w:left w:val="single" w:color="000000" w:sz="4" w:space="0"/>
              <w:bottom w:val="single" w:color="000000" w:sz="4" w:space="0"/>
              <w:right w:val="single" w:color="000000" w:sz="4" w:space="0"/>
            </w:tcBorders>
            <w:noWrap/>
            <w:vAlign w:val="center"/>
          </w:tcPr>
          <w:p w14:paraId="75B7E5F0">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黄沙村</w:t>
            </w:r>
          </w:p>
        </w:tc>
        <w:tc>
          <w:tcPr>
            <w:tcW w:w="728" w:type="pct"/>
            <w:tcBorders>
              <w:top w:val="single" w:color="000000" w:sz="4" w:space="0"/>
              <w:left w:val="single" w:color="000000" w:sz="4" w:space="0"/>
              <w:bottom w:val="single" w:color="000000" w:sz="4" w:space="0"/>
              <w:right w:val="single" w:color="000000" w:sz="4" w:space="0"/>
            </w:tcBorders>
            <w:noWrap/>
            <w:vAlign w:val="center"/>
          </w:tcPr>
          <w:p w14:paraId="75B7E5F1">
            <w:pPr>
              <w:widowControl/>
              <w:autoSpaceDE/>
              <w:autoSpaceDN/>
              <w:snapToGrid w:val="0"/>
              <w:spacing w:line="240" w:lineRule="auto"/>
              <w:ind w:firstLine="0" w:firstLineChars="0"/>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黄沙村</w:t>
            </w:r>
          </w:p>
        </w:tc>
        <w:tc>
          <w:tcPr>
            <w:tcW w:w="978" w:type="pct"/>
            <w:tcBorders>
              <w:top w:val="single" w:color="000000" w:sz="4" w:space="0"/>
              <w:left w:val="single" w:color="000000" w:sz="4" w:space="0"/>
              <w:bottom w:val="single" w:color="000000" w:sz="4" w:space="0"/>
              <w:right w:val="single" w:color="000000" w:sz="4" w:space="0"/>
            </w:tcBorders>
            <w:noWrap/>
            <w:vAlign w:val="center"/>
          </w:tcPr>
          <w:p w14:paraId="75B7E5F2">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113.618888</w:t>
            </w:r>
          </w:p>
        </w:tc>
        <w:tc>
          <w:tcPr>
            <w:tcW w:w="852" w:type="pct"/>
            <w:tcBorders>
              <w:top w:val="single" w:color="000000" w:sz="4" w:space="0"/>
              <w:left w:val="single" w:color="000000" w:sz="4" w:space="0"/>
              <w:bottom w:val="single" w:color="000000" w:sz="4" w:space="0"/>
              <w:right w:val="single" w:color="000000" w:sz="4" w:space="0"/>
            </w:tcBorders>
            <w:noWrap/>
            <w:vAlign w:val="center"/>
          </w:tcPr>
          <w:p w14:paraId="75B7E5F3">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29.571111</w:t>
            </w:r>
          </w:p>
        </w:tc>
        <w:tc>
          <w:tcPr>
            <w:tcW w:w="461" w:type="pct"/>
            <w:tcBorders>
              <w:top w:val="single" w:color="000000" w:sz="4" w:space="0"/>
              <w:left w:val="single" w:color="000000" w:sz="4" w:space="0"/>
              <w:bottom w:val="single" w:color="000000" w:sz="4" w:space="0"/>
              <w:right w:val="single" w:color="000000" w:sz="4" w:space="0"/>
            </w:tcBorders>
            <w:noWrap/>
            <w:vAlign w:val="center"/>
          </w:tcPr>
          <w:p w14:paraId="75B7E5F4">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bl>
    <w:p w14:paraId="75B7E5F6">
      <w:pPr>
        <w:ind w:firstLine="480"/>
        <w:rPr>
          <w:rFonts w:hint="eastAsia"/>
        </w:rPr>
      </w:pPr>
    </w:p>
    <w:p w14:paraId="75B7E5F7">
      <w:pPr>
        <w:spacing w:line="240" w:lineRule="auto"/>
        <w:ind w:firstLine="0" w:firstLineChars="0"/>
        <w:rPr>
          <w:rFonts w:hint="eastAsia"/>
        </w:rPr>
      </w:pPr>
      <w:r>
        <w:rPr>
          <w:rFonts w:ascii="方正仿宋_GB2312" w:hAnsi="方正仿宋_GB2312" w:eastAsia="方正仿宋_GB2312" w:cs="方正仿宋_GB2312"/>
          <w:sz w:val="28"/>
          <w:szCs w:val="28"/>
        </w:rPr>
        <w:drawing>
          <wp:inline distT="0" distB="0" distL="114300" distR="114300">
            <wp:extent cx="5274310" cy="3079750"/>
            <wp:effectExtent l="0" t="0" r="8890" b="6350"/>
            <wp:docPr id="17" name="图片 17" descr="临湘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临湘市"/>
                    <pic:cNvPicPr>
                      <a:picLocks noChangeAspect="1"/>
                    </pic:cNvPicPr>
                  </pic:nvPicPr>
                  <pic:blipFill>
                    <a:blip r:embed="rId54"/>
                    <a:stretch>
                      <a:fillRect/>
                    </a:stretch>
                  </pic:blipFill>
                  <pic:spPr>
                    <a:xfrm>
                      <a:off x="0" y="0"/>
                      <a:ext cx="5274310" cy="3079787"/>
                    </a:xfrm>
                    <a:prstGeom prst="rect">
                      <a:avLst/>
                    </a:prstGeom>
                  </pic:spPr>
                </pic:pic>
              </a:graphicData>
            </a:graphic>
          </wp:inline>
        </w:drawing>
      </w:r>
    </w:p>
    <w:p w14:paraId="75B7E5F8">
      <w:pPr>
        <w:ind w:firstLine="480"/>
        <w:rPr>
          <w:rFonts w:hint="eastAsia"/>
        </w:rPr>
      </w:pPr>
      <w:r>
        <w:rPr>
          <w:rFonts w:hint="eastAsia"/>
        </w:rPr>
        <w:t>6.汨罗市</w:t>
      </w:r>
    </w:p>
    <w:tbl>
      <w:tblPr>
        <w:tblStyle w:val="38"/>
        <w:tblW w:w="4426" w:type="pct"/>
        <w:jc w:val="center"/>
        <w:tblLayout w:type="fixed"/>
        <w:tblCellMar>
          <w:top w:w="0" w:type="dxa"/>
          <w:left w:w="108" w:type="dxa"/>
          <w:bottom w:w="0" w:type="dxa"/>
          <w:right w:w="108" w:type="dxa"/>
        </w:tblCellMar>
      </w:tblPr>
      <w:tblGrid>
        <w:gridCol w:w="512"/>
        <w:gridCol w:w="835"/>
        <w:gridCol w:w="780"/>
        <w:gridCol w:w="1101"/>
        <w:gridCol w:w="888"/>
        <w:gridCol w:w="1420"/>
        <w:gridCol w:w="1192"/>
        <w:gridCol w:w="631"/>
      </w:tblGrid>
      <w:tr w14:paraId="75B7E602">
        <w:tblPrEx>
          <w:tblCellMar>
            <w:top w:w="0" w:type="dxa"/>
            <w:left w:w="108" w:type="dxa"/>
            <w:bottom w:w="0" w:type="dxa"/>
            <w:right w:w="108" w:type="dxa"/>
          </w:tblCellMar>
        </w:tblPrEx>
        <w:trPr>
          <w:tblHeader/>
          <w:jc w:val="center"/>
        </w:trPr>
        <w:tc>
          <w:tcPr>
            <w:tcW w:w="34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F9">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序号</w:t>
            </w:r>
          </w:p>
        </w:tc>
        <w:tc>
          <w:tcPr>
            <w:tcW w:w="567"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FA">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行政区域</w:t>
            </w:r>
          </w:p>
        </w:tc>
        <w:tc>
          <w:tcPr>
            <w:tcW w:w="530"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FB">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乡镇</w:t>
            </w:r>
          </w:p>
          <w:p w14:paraId="75B7E5FC">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（街道）</w:t>
            </w:r>
          </w:p>
        </w:tc>
        <w:tc>
          <w:tcPr>
            <w:tcW w:w="74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FD">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村</w:t>
            </w:r>
          </w:p>
        </w:tc>
        <w:tc>
          <w:tcPr>
            <w:tcW w:w="603"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FE">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小地名</w:t>
            </w:r>
          </w:p>
        </w:tc>
        <w:tc>
          <w:tcPr>
            <w:tcW w:w="965"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5FF">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经度</w:t>
            </w:r>
          </w:p>
        </w:tc>
        <w:tc>
          <w:tcPr>
            <w:tcW w:w="810"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00">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纬度</w:t>
            </w:r>
          </w:p>
        </w:tc>
        <w:tc>
          <w:tcPr>
            <w:tcW w:w="429"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01">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备注</w:t>
            </w:r>
          </w:p>
        </w:tc>
      </w:tr>
      <w:tr w14:paraId="75B7E60B">
        <w:trPr>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5B7E603">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1</w:t>
            </w:r>
          </w:p>
        </w:tc>
        <w:tc>
          <w:tcPr>
            <w:tcW w:w="567" w:type="pct"/>
            <w:tcBorders>
              <w:top w:val="single" w:color="000000" w:sz="4" w:space="0"/>
              <w:left w:val="single" w:color="000000" w:sz="4" w:space="0"/>
              <w:bottom w:val="single" w:color="000000" w:sz="4" w:space="0"/>
              <w:right w:val="single" w:color="000000" w:sz="4" w:space="0"/>
            </w:tcBorders>
            <w:noWrap/>
            <w:vAlign w:val="center"/>
          </w:tcPr>
          <w:p w14:paraId="75B7E604">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汨罗市</w:t>
            </w:r>
          </w:p>
        </w:tc>
        <w:tc>
          <w:tcPr>
            <w:tcW w:w="530" w:type="pct"/>
            <w:tcBorders>
              <w:top w:val="single" w:color="000000" w:sz="4" w:space="0"/>
              <w:left w:val="single" w:color="000000" w:sz="4" w:space="0"/>
              <w:bottom w:val="single" w:color="000000" w:sz="4" w:space="0"/>
              <w:right w:val="single" w:color="000000" w:sz="4" w:space="0"/>
            </w:tcBorders>
            <w:noWrap/>
            <w:vAlign w:val="center"/>
          </w:tcPr>
          <w:p w14:paraId="75B7E605">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川山坪镇</w:t>
            </w:r>
          </w:p>
        </w:tc>
        <w:tc>
          <w:tcPr>
            <w:tcW w:w="748" w:type="pct"/>
            <w:tcBorders>
              <w:top w:val="single" w:color="000000" w:sz="4" w:space="0"/>
              <w:left w:val="single" w:color="000000" w:sz="4" w:space="0"/>
              <w:bottom w:val="single" w:color="000000" w:sz="4" w:space="0"/>
              <w:right w:val="single" w:color="000000" w:sz="4" w:space="0"/>
            </w:tcBorders>
            <w:noWrap/>
            <w:vAlign w:val="center"/>
          </w:tcPr>
          <w:p w14:paraId="75B7E606">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玉池山村</w:t>
            </w:r>
          </w:p>
        </w:tc>
        <w:tc>
          <w:tcPr>
            <w:tcW w:w="603" w:type="pct"/>
            <w:tcBorders>
              <w:top w:val="single" w:color="000000" w:sz="4" w:space="0"/>
              <w:left w:val="single" w:color="000000" w:sz="4" w:space="0"/>
              <w:bottom w:val="single" w:color="000000" w:sz="4" w:space="0"/>
              <w:right w:val="single" w:color="000000" w:sz="4" w:space="0"/>
            </w:tcBorders>
            <w:noWrap/>
            <w:vAlign w:val="center"/>
          </w:tcPr>
          <w:p w14:paraId="75B7E607">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望塔</w:t>
            </w:r>
          </w:p>
        </w:tc>
        <w:tc>
          <w:tcPr>
            <w:tcW w:w="965" w:type="pct"/>
            <w:tcBorders>
              <w:top w:val="single" w:color="000000" w:sz="4" w:space="0"/>
              <w:left w:val="single" w:color="000000" w:sz="4" w:space="0"/>
              <w:bottom w:val="single" w:color="000000" w:sz="4" w:space="0"/>
              <w:right w:val="single" w:color="000000" w:sz="4" w:space="0"/>
            </w:tcBorders>
            <w:noWrap/>
            <w:vAlign w:val="center"/>
          </w:tcPr>
          <w:p w14:paraId="75B7E608">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113.074444</w:t>
            </w:r>
          </w:p>
        </w:tc>
        <w:tc>
          <w:tcPr>
            <w:tcW w:w="810" w:type="pct"/>
            <w:tcBorders>
              <w:top w:val="single" w:color="000000" w:sz="4" w:space="0"/>
              <w:left w:val="single" w:color="000000" w:sz="4" w:space="0"/>
              <w:bottom w:val="single" w:color="000000" w:sz="4" w:space="0"/>
              <w:right w:val="single" w:color="000000" w:sz="4" w:space="0"/>
            </w:tcBorders>
            <w:noWrap/>
            <w:vAlign w:val="center"/>
          </w:tcPr>
          <w:p w14:paraId="75B7E609">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28.578611</w:t>
            </w:r>
          </w:p>
        </w:tc>
        <w:tc>
          <w:tcPr>
            <w:tcW w:w="429" w:type="pct"/>
            <w:tcBorders>
              <w:top w:val="single" w:color="000000" w:sz="4" w:space="0"/>
              <w:left w:val="single" w:color="000000" w:sz="4" w:space="0"/>
              <w:bottom w:val="single" w:color="000000" w:sz="4" w:space="0"/>
              <w:right w:val="single" w:color="000000" w:sz="4" w:space="0"/>
            </w:tcBorders>
            <w:noWrap/>
            <w:vAlign w:val="center"/>
          </w:tcPr>
          <w:p w14:paraId="75B7E60A">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614">
        <w:tblPrEx>
          <w:tblCellMar>
            <w:top w:w="0" w:type="dxa"/>
            <w:left w:w="108" w:type="dxa"/>
            <w:bottom w:w="0" w:type="dxa"/>
            <w:right w:w="108" w:type="dxa"/>
          </w:tblCellMar>
        </w:tblPrEx>
        <w:trPr>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5B7E60C">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2</w:t>
            </w:r>
          </w:p>
        </w:tc>
        <w:tc>
          <w:tcPr>
            <w:tcW w:w="567" w:type="pct"/>
            <w:tcBorders>
              <w:top w:val="single" w:color="000000" w:sz="4" w:space="0"/>
              <w:left w:val="single" w:color="000000" w:sz="4" w:space="0"/>
              <w:bottom w:val="single" w:color="000000" w:sz="4" w:space="0"/>
              <w:right w:val="single" w:color="000000" w:sz="4" w:space="0"/>
            </w:tcBorders>
            <w:noWrap/>
            <w:vAlign w:val="center"/>
          </w:tcPr>
          <w:p w14:paraId="75B7E60D">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汨罗市</w:t>
            </w:r>
          </w:p>
        </w:tc>
        <w:tc>
          <w:tcPr>
            <w:tcW w:w="530" w:type="pct"/>
            <w:tcBorders>
              <w:top w:val="single" w:color="000000" w:sz="4" w:space="0"/>
              <w:left w:val="single" w:color="000000" w:sz="4" w:space="0"/>
              <w:bottom w:val="single" w:color="000000" w:sz="4" w:space="0"/>
              <w:right w:val="single" w:color="000000" w:sz="4" w:space="0"/>
            </w:tcBorders>
            <w:noWrap/>
            <w:vAlign w:val="center"/>
          </w:tcPr>
          <w:p w14:paraId="75B7E60E">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神鼎山镇</w:t>
            </w:r>
          </w:p>
        </w:tc>
        <w:tc>
          <w:tcPr>
            <w:tcW w:w="748" w:type="pct"/>
            <w:tcBorders>
              <w:top w:val="single" w:color="000000" w:sz="4" w:space="0"/>
              <w:left w:val="single" w:color="000000" w:sz="4" w:space="0"/>
              <w:bottom w:val="single" w:color="000000" w:sz="4" w:space="0"/>
              <w:right w:val="single" w:color="000000" w:sz="4" w:space="0"/>
            </w:tcBorders>
            <w:noWrap/>
            <w:vAlign w:val="center"/>
          </w:tcPr>
          <w:p w14:paraId="75B7E60F">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神鼎山村</w:t>
            </w:r>
          </w:p>
        </w:tc>
        <w:tc>
          <w:tcPr>
            <w:tcW w:w="603" w:type="pct"/>
            <w:tcBorders>
              <w:top w:val="single" w:color="000000" w:sz="4" w:space="0"/>
              <w:left w:val="single" w:color="000000" w:sz="4" w:space="0"/>
              <w:bottom w:val="single" w:color="000000" w:sz="4" w:space="0"/>
              <w:right w:val="single" w:color="000000" w:sz="4" w:space="0"/>
            </w:tcBorders>
            <w:noWrap/>
            <w:vAlign w:val="center"/>
          </w:tcPr>
          <w:p w14:paraId="75B7E610">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神鼎山庄</w:t>
            </w:r>
          </w:p>
        </w:tc>
        <w:tc>
          <w:tcPr>
            <w:tcW w:w="965" w:type="pct"/>
            <w:tcBorders>
              <w:top w:val="single" w:color="000000" w:sz="4" w:space="0"/>
              <w:left w:val="single" w:color="000000" w:sz="4" w:space="0"/>
              <w:bottom w:val="single" w:color="000000" w:sz="4" w:space="0"/>
              <w:right w:val="single" w:color="000000" w:sz="4" w:space="0"/>
            </w:tcBorders>
            <w:noWrap/>
            <w:vAlign w:val="center"/>
          </w:tcPr>
          <w:p w14:paraId="75B7E611">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113.128611</w:t>
            </w:r>
          </w:p>
        </w:tc>
        <w:tc>
          <w:tcPr>
            <w:tcW w:w="810" w:type="pct"/>
            <w:tcBorders>
              <w:top w:val="single" w:color="000000" w:sz="4" w:space="0"/>
              <w:left w:val="single" w:color="000000" w:sz="4" w:space="0"/>
              <w:bottom w:val="single" w:color="000000" w:sz="4" w:space="0"/>
              <w:right w:val="single" w:color="000000" w:sz="4" w:space="0"/>
            </w:tcBorders>
            <w:noWrap/>
            <w:vAlign w:val="center"/>
          </w:tcPr>
          <w:p w14:paraId="75B7E612">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28.687222</w:t>
            </w:r>
          </w:p>
        </w:tc>
        <w:tc>
          <w:tcPr>
            <w:tcW w:w="429" w:type="pct"/>
            <w:tcBorders>
              <w:top w:val="single" w:color="000000" w:sz="4" w:space="0"/>
              <w:left w:val="single" w:color="000000" w:sz="4" w:space="0"/>
              <w:bottom w:val="single" w:color="000000" w:sz="4" w:space="0"/>
              <w:right w:val="single" w:color="000000" w:sz="4" w:space="0"/>
            </w:tcBorders>
            <w:noWrap/>
            <w:vAlign w:val="center"/>
          </w:tcPr>
          <w:p w14:paraId="75B7E613">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r w14:paraId="75B7E61D">
        <w:tblPrEx>
          <w:tblCellMar>
            <w:top w:w="0" w:type="dxa"/>
            <w:left w:w="108" w:type="dxa"/>
            <w:bottom w:w="0" w:type="dxa"/>
            <w:right w:w="108" w:type="dxa"/>
          </w:tblCellMar>
        </w:tblPrEx>
        <w:trPr>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5B7E615">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3</w:t>
            </w:r>
          </w:p>
        </w:tc>
        <w:tc>
          <w:tcPr>
            <w:tcW w:w="567" w:type="pct"/>
            <w:tcBorders>
              <w:top w:val="single" w:color="000000" w:sz="4" w:space="0"/>
              <w:left w:val="single" w:color="000000" w:sz="4" w:space="0"/>
              <w:bottom w:val="single" w:color="000000" w:sz="4" w:space="0"/>
              <w:right w:val="single" w:color="000000" w:sz="4" w:space="0"/>
            </w:tcBorders>
            <w:noWrap/>
            <w:vAlign w:val="center"/>
          </w:tcPr>
          <w:p w14:paraId="75B7E616">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汨罗市</w:t>
            </w:r>
          </w:p>
        </w:tc>
        <w:tc>
          <w:tcPr>
            <w:tcW w:w="530" w:type="pct"/>
            <w:tcBorders>
              <w:top w:val="single" w:color="000000" w:sz="4" w:space="0"/>
              <w:left w:val="single" w:color="000000" w:sz="4" w:space="0"/>
              <w:bottom w:val="single" w:color="000000" w:sz="4" w:space="0"/>
              <w:right w:val="single" w:color="000000" w:sz="4" w:space="0"/>
            </w:tcBorders>
            <w:noWrap/>
            <w:vAlign w:val="center"/>
          </w:tcPr>
          <w:p w14:paraId="75B7E617">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桃林寺镇</w:t>
            </w:r>
          </w:p>
        </w:tc>
        <w:tc>
          <w:tcPr>
            <w:tcW w:w="748" w:type="pct"/>
            <w:tcBorders>
              <w:top w:val="single" w:color="000000" w:sz="4" w:space="0"/>
              <w:left w:val="single" w:color="000000" w:sz="4" w:space="0"/>
              <w:bottom w:val="single" w:color="000000" w:sz="4" w:space="0"/>
              <w:right w:val="single" w:color="000000" w:sz="4" w:space="0"/>
            </w:tcBorders>
            <w:noWrap/>
            <w:vAlign w:val="center"/>
          </w:tcPr>
          <w:p w14:paraId="75B7E618">
            <w:pPr>
              <w:widowControl/>
              <w:autoSpaceDE/>
              <w:autoSpaceDN/>
              <w:snapToGrid w:val="0"/>
              <w:spacing w:line="240" w:lineRule="auto"/>
              <w:ind w:firstLine="0" w:firstLineChars="0"/>
              <w:jc w:val="center"/>
              <w:textAlignment w:val="center"/>
              <w:rPr>
                <w:rFonts w:hint="eastAsia" w:ascii="仿宋_GB2312" w:hAnsi="方正仿宋_GB2312" w:cs="方正仿宋_GB2312"/>
                <w:sz w:val="21"/>
                <w:szCs w:val="21"/>
                <w:lang w:val="en-US" w:bidi="ar"/>
              </w:rPr>
            </w:pPr>
            <w:r>
              <w:rPr>
                <w:rFonts w:hint="eastAsia" w:ascii="仿宋_GB2312" w:hAnsi="方正仿宋_GB2312" w:cs="方正仿宋_GB2312"/>
                <w:sz w:val="21"/>
                <w:szCs w:val="21"/>
                <w:lang w:val="en-US" w:bidi="ar"/>
              </w:rPr>
              <w:t>桃林林场村</w:t>
            </w:r>
          </w:p>
        </w:tc>
        <w:tc>
          <w:tcPr>
            <w:tcW w:w="603" w:type="pct"/>
            <w:tcBorders>
              <w:top w:val="single" w:color="000000" w:sz="4" w:space="0"/>
              <w:left w:val="single" w:color="000000" w:sz="4" w:space="0"/>
              <w:bottom w:val="single" w:color="000000" w:sz="4" w:space="0"/>
              <w:right w:val="single" w:color="000000" w:sz="4" w:space="0"/>
            </w:tcBorders>
            <w:noWrap/>
            <w:vAlign w:val="center"/>
          </w:tcPr>
          <w:p w14:paraId="75B7E619">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桃林林场</w:t>
            </w:r>
          </w:p>
        </w:tc>
        <w:tc>
          <w:tcPr>
            <w:tcW w:w="965" w:type="pct"/>
            <w:tcBorders>
              <w:top w:val="single" w:color="000000" w:sz="4" w:space="0"/>
              <w:left w:val="single" w:color="000000" w:sz="4" w:space="0"/>
              <w:bottom w:val="single" w:color="000000" w:sz="4" w:space="0"/>
              <w:right w:val="single" w:color="000000" w:sz="4" w:space="0"/>
            </w:tcBorders>
            <w:noWrap/>
            <w:vAlign w:val="center"/>
          </w:tcPr>
          <w:p w14:paraId="75B7E61A">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113.080737</w:t>
            </w:r>
          </w:p>
        </w:tc>
        <w:tc>
          <w:tcPr>
            <w:tcW w:w="810" w:type="pct"/>
            <w:tcBorders>
              <w:top w:val="single" w:color="000000" w:sz="4" w:space="0"/>
              <w:left w:val="single" w:color="000000" w:sz="4" w:space="0"/>
              <w:bottom w:val="single" w:color="000000" w:sz="4" w:space="0"/>
              <w:right w:val="single" w:color="000000" w:sz="4" w:space="0"/>
            </w:tcBorders>
            <w:noWrap/>
            <w:vAlign w:val="center"/>
          </w:tcPr>
          <w:p w14:paraId="75B7E61B">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28.956883</w:t>
            </w:r>
          </w:p>
        </w:tc>
        <w:tc>
          <w:tcPr>
            <w:tcW w:w="429" w:type="pct"/>
            <w:tcBorders>
              <w:top w:val="single" w:color="000000" w:sz="4" w:space="0"/>
              <w:left w:val="single" w:color="000000" w:sz="4" w:space="0"/>
              <w:bottom w:val="single" w:color="000000" w:sz="4" w:space="0"/>
              <w:right w:val="single" w:color="000000" w:sz="4" w:space="0"/>
            </w:tcBorders>
            <w:noWrap/>
            <w:vAlign w:val="center"/>
          </w:tcPr>
          <w:p w14:paraId="75B7E61C">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bl>
    <w:p w14:paraId="75B7E61E">
      <w:pPr>
        <w:ind w:firstLine="480"/>
        <w:rPr>
          <w:rFonts w:hint="eastAsia"/>
        </w:rPr>
      </w:pPr>
    </w:p>
    <w:p w14:paraId="75B7E61F">
      <w:pPr>
        <w:spacing w:line="240" w:lineRule="auto"/>
        <w:ind w:firstLine="0" w:firstLineChars="0"/>
        <w:rPr>
          <w:rFonts w:hint="eastAsia"/>
        </w:rPr>
      </w:pPr>
      <w:r>
        <w:rPr>
          <w:rFonts w:ascii="方正仿宋_GB2312" w:hAnsi="方正仿宋_GB2312" w:eastAsia="方正仿宋_GB2312" w:cs="方正仿宋_GB2312"/>
          <w:sz w:val="28"/>
          <w:szCs w:val="28"/>
        </w:rPr>
        <w:drawing>
          <wp:inline distT="0" distB="0" distL="114300" distR="114300">
            <wp:extent cx="5274310" cy="3079750"/>
            <wp:effectExtent l="0" t="0" r="8890" b="6350"/>
            <wp:docPr id="19" name="图片 19" descr="汨罗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汨罗市"/>
                    <pic:cNvPicPr>
                      <a:picLocks noChangeAspect="1"/>
                    </pic:cNvPicPr>
                  </pic:nvPicPr>
                  <pic:blipFill>
                    <a:blip r:embed="rId55"/>
                    <a:stretch>
                      <a:fillRect/>
                    </a:stretch>
                  </pic:blipFill>
                  <pic:spPr>
                    <a:xfrm>
                      <a:off x="0" y="0"/>
                      <a:ext cx="5274310" cy="3079787"/>
                    </a:xfrm>
                    <a:prstGeom prst="rect">
                      <a:avLst/>
                    </a:prstGeom>
                  </pic:spPr>
                </pic:pic>
              </a:graphicData>
            </a:graphic>
          </wp:inline>
        </w:drawing>
      </w:r>
    </w:p>
    <w:p w14:paraId="75B7E620">
      <w:pPr>
        <w:ind w:firstLine="480"/>
        <w:rPr>
          <w:rFonts w:hint="eastAsia"/>
        </w:rPr>
      </w:pPr>
      <w:r>
        <w:rPr>
          <w:rFonts w:hint="eastAsia"/>
        </w:rPr>
        <w:t>7.云溪区</w:t>
      </w:r>
    </w:p>
    <w:tbl>
      <w:tblPr>
        <w:tblStyle w:val="38"/>
        <w:tblW w:w="4560" w:type="pct"/>
        <w:jc w:val="center"/>
        <w:tblLayout w:type="fixed"/>
        <w:tblCellMar>
          <w:top w:w="0" w:type="dxa"/>
          <w:left w:w="108" w:type="dxa"/>
          <w:bottom w:w="0" w:type="dxa"/>
          <w:right w:w="108" w:type="dxa"/>
        </w:tblCellMar>
      </w:tblPr>
      <w:tblGrid>
        <w:gridCol w:w="520"/>
        <w:gridCol w:w="851"/>
        <w:gridCol w:w="996"/>
        <w:gridCol w:w="704"/>
        <w:gridCol w:w="1290"/>
        <w:gridCol w:w="1280"/>
        <w:gridCol w:w="1170"/>
        <w:gridCol w:w="771"/>
      </w:tblGrid>
      <w:tr w14:paraId="75B7E62B">
        <w:tblPrEx>
          <w:tblCellMar>
            <w:top w:w="0" w:type="dxa"/>
            <w:left w:w="108" w:type="dxa"/>
            <w:bottom w:w="0" w:type="dxa"/>
            <w:right w:w="108" w:type="dxa"/>
          </w:tblCellMar>
        </w:tblPrEx>
        <w:trPr>
          <w:tblHeader/>
          <w:jc w:val="center"/>
        </w:trPr>
        <w:tc>
          <w:tcPr>
            <w:tcW w:w="34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1">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序号</w:t>
            </w:r>
          </w:p>
        </w:tc>
        <w:tc>
          <w:tcPr>
            <w:tcW w:w="561"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2">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行政</w:t>
            </w:r>
          </w:p>
          <w:p w14:paraId="75B7E623">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区域</w:t>
            </w:r>
          </w:p>
        </w:tc>
        <w:tc>
          <w:tcPr>
            <w:tcW w:w="656"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4">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乡镇</w:t>
            </w:r>
          </w:p>
          <w:p w14:paraId="75B7E625">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（街道）</w:t>
            </w:r>
          </w:p>
        </w:tc>
        <w:tc>
          <w:tcPr>
            <w:tcW w:w="46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6">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村</w:t>
            </w:r>
          </w:p>
        </w:tc>
        <w:tc>
          <w:tcPr>
            <w:tcW w:w="850"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7">
            <w:pPr>
              <w:widowControl/>
              <w:autoSpaceDE/>
              <w:autoSpaceDN/>
              <w:snapToGrid w:val="0"/>
              <w:spacing w:line="240" w:lineRule="auto"/>
              <w:ind w:firstLine="0" w:firstLineChars="0"/>
              <w:jc w:val="center"/>
              <w:textAlignment w:val="center"/>
              <w:rPr>
                <w:rFonts w:hint="eastAsia" w:ascii="仿宋_GB2312" w:hAnsi="方正仿宋_GB2312" w:cs="方正仿宋_GB2312"/>
                <w:b/>
                <w:bCs/>
                <w:sz w:val="21"/>
                <w:szCs w:val="21"/>
                <w:lang w:val="en-US" w:bidi="ar"/>
              </w:rPr>
            </w:pPr>
            <w:r>
              <w:rPr>
                <w:rFonts w:hint="eastAsia" w:ascii="仿宋_GB2312" w:hAnsi="方正仿宋_GB2312" w:cs="方正仿宋_GB2312"/>
                <w:b/>
                <w:bCs/>
                <w:sz w:val="21"/>
                <w:szCs w:val="21"/>
                <w:lang w:val="en-US" w:bidi="ar"/>
              </w:rPr>
              <w:t>小地名</w:t>
            </w:r>
          </w:p>
        </w:tc>
        <w:tc>
          <w:tcPr>
            <w:tcW w:w="843"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8">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经度</w:t>
            </w:r>
          </w:p>
        </w:tc>
        <w:tc>
          <w:tcPr>
            <w:tcW w:w="770"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9">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纬度</w:t>
            </w:r>
          </w:p>
        </w:tc>
        <w:tc>
          <w:tcPr>
            <w:tcW w:w="50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62A">
            <w:pPr>
              <w:widowControl/>
              <w:autoSpaceDE/>
              <w:autoSpaceDN/>
              <w:snapToGrid w:val="0"/>
              <w:spacing w:line="240" w:lineRule="auto"/>
              <w:ind w:firstLine="0" w:firstLineChars="0"/>
              <w:jc w:val="center"/>
              <w:textAlignment w:val="center"/>
              <w:rPr>
                <w:rFonts w:hint="eastAsia" w:ascii="仿宋_GB2312" w:hAnsi="方正仿宋_GB2312" w:cs="方正仿宋_GB2312"/>
                <w:b/>
                <w:bCs/>
                <w:kern w:val="2"/>
                <w:sz w:val="21"/>
                <w:szCs w:val="21"/>
                <w:lang w:val="en-US" w:bidi="ar-SA"/>
              </w:rPr>
            </w:pPr>
            <w:r>
              <w:rPr>
                <w:rFonts w:hint="eastAsia" w:ascii="仿宋_GB2312" w:hAnsi="方正仿宋_GB2312" w:cs="方正仿宋_GB2312"/>
                <w:b/>
                <w:bCs/>
                <w:sz w:val="21"/>
                <w:szCs w:val="21"/>
                <w:lang w:val="en-US" w:bidi="ar"/>
              </w:rPr>
              <w:t>备注</w:t>
            </w:r>
          </w:p>
        </w:tc>
      </w:tr>
      <w:tr w14:paraId="75B7E634">
        <w:tblPrEx>
          <w:tblCellMar>
            <w:top w:w="0" w:type="dxa"/>
            <w:left w:w="108" w:type="dxa"/>
            <w:bottom w:w="0" w:type="dxa"/>
            <w:right w:w="108" w:type="dxa"/>
          </w:tblCellMar>
        </w:tblPrEx>
        <w:trPr>
          <w:jc w:val="center"/>
        </w:trPr>
        <w:tc>
          <w:tcPr>
            <w:tcW w:w="344" w:type="pct"/>
            <w:tcBorders>
              <w:top w:val="single" w:color="000000" w:sz="4" w:space="0"/>
              <w:left w:val="single" w:color="000000" w:sz="4" w:space="0"/>
              <w:bottom w:val="single" w:color="000000" w:sz="4" w:space="0"/>
              <w:right w:val="single" w:color="000000" w:sz="4" w:space="0"/>
            </w:tcBorders>
            <w:noWrap/>
            <w:vAlign w:val="center"/>
          </w:tcPr>
          <w:p w14:paraId="75B7E62C">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1</w:t>
            </w:r>
          </w:p>
        </w:tc>
        <w:tc>
          <w:tcPr>
            <w:tcW w:w="561" w:type="pct"/>
            <w:tcBorders>
              <w:top w:val="single" w:color="000000" w:sz="4" w:space="0"/>
              <w:left w:val="single" w:color="000000" w:sz="4" w:space="0"/>
              <w:bottom w:val="single" w:color="000000" w:sz="4" w:space="0"/>
              <w:right w:val="single" w:color="000000" w:sz="4" w:space="0"/>
            </w:tcBorders>
            <w:noWrap/>
            <w:vAlign w:val="center"/>
          </w:tcPr>
          <w:p w14:paraId="75B7E62D">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云溪区</w:t>
            </w:r>
          </w:p>
        </w:tc>
        <w:tc>
          <w:tcPr>
            <w:tcW w:w="656" w:type="pct"/>
            <w:tcBorders>
              <w:top w:val="nil"/>
              <w:left w:val="single" w:color="000000" w:sz="4" w:space="0"/>
              <w:bottom w:val="single" w:color="000000" w:sz="4" w:space="0"/>
              <w:right w:val="single" w:color="000000" w:sz="4" w:space="0"/>
            </w:tcBorders>
            <w:noWrap/>
            <w:vAlign w:val="center"/>
          </w:tcPr>
          <w:p w14:paraId="75B7E62E">
            <w:pPr>
              <w:widowControl/>
              <w:autoSpaceDE/>
              <w:autoSpaceDN/>
              <w:snapToGrid w:val="0"/>
              <w:spacing w:line="240" w:lineRule="auto"/>
              <w:ind w:firstLine="0" w:firstLineChars="0"/>
              <w:jc w:val="center"/>
              <w:textAlignment w:val="center"/>
              <w:rPr>
                <w:rFonts w:ascii="仿宋_GB2312" w:hAnsi="Times New Roman" w:cs="Times New Roman"/>
                <w:sz w:val="21"/>
                <w:szCs w:val="21"/>
                <w:lang w:val="en-US" w:bidi="ar"/>
              </w:rPr>
            </w:pPr>
            <w:r>
              <w:rPr>
                <w:rFonts w:hint="eastAsia" w:ascii="仿宋_GB2312" w:hAnsi="方正仿宋_GB2312" w:cs="方正仿宋_GB2312"/>
                <w:sz w:val="21"/>
                <w:szCs w:val="21"/>
                <w:lang w:val="en-US" w:bidi="ar"/>
              </w:rPr>
              <w:t>云溪街道</w:t>
            </w:r>
          </w:p>
        </w:tc>
        <w:tc>
          <w:tcPr>
            <w:tcW w:w="464" w:type="pct"/>
            <w:tcBorders>
              <w:top w:val="nil"/>
              <w:left w:val="single" w:color="000000" w:sz="4" w:space="0"/>
              <w:bottom w:val="single" w:color="000000" w:sz="4" w:space="0"/>
              <w:right w:val="single" w:color="000000" w:sz="4" w:space="0"/>
            </w:tcBorders>
            <w:noWrap/>
            <w:vAlign w:val="center"/>
          </w:tcPr>
          <w:p w14:paraId="75B7E62F">
            <w:pPr>
              <w:widowControl/>
              <w:autoSpaceDE/>
              <w:autoSpaceDN/>
              <w:snapToGrid w:val="0"/>
              <w:spacing w:line="240" w:lineRule="auto"/>
              <w:ind w:firstLine="0" w:firstLineChars="0"/>
              <w:jc w:val="center"/>
              <w:textAlignment w:val="center"/>
              <w:rPr>
                <w:rFonts w:ascii="仿宋_GB2312" w:hAnsi="Times New Roman" w:cs="Times New Roman"/>
                <w:sz w:val="21"/>
                <w:szCs w:val="21"/>
                <w:lang w:val="en-US" w:bidi="ar"/>
              </w:rPr>
            </w:pPr>
            <w:r>
              <w:rPr>
                <w:rFonts w:hint="eastAsia" w:ascii="仿宋_GB2312" w:hAnsi="Times New Roman" w:cs="Times New Roman"/>
                <w:sz w:val="21"/>
                <w:szCs w:val="21"/>
                <w:lang w:val="en-US" w:bidi="ar"/>
              </w:rPr>
              <w:t>云溪街道</w:t>
            </w:r>
          </w:p>
        </w:tc>
        <w:tc>
          <w:tcPr>
            <w:tcW w:w="850" w:type="pct"/>
            <w:tcBorders>
              <w:top w:val="nil"/>
              <w:left w:val="single" w:color="000000" w:sz="4" w:space="0"/>
              <w:bottom w:val="single" w:color="000000" w:sz="4" w:space="0"/>
              <w:right w:val="single" w:color="000000" w:sz="4" w:space="0"/>
            </w:tcBorders>
            <w:noWrap/>
            <w:vAlign w:val="center"/>
          </w:tcPr>
          <w:p w14:paraId="75B7E630">
            <w:pPr>
              <w:widowControl/>
              <w:autoSpaceDE/>
              <w:autoSpaceDN/>
              <w:snapToGrid w:val="0"/>
              <w:spacing w:line="240" w:lineRule="auto"/>
              <w:ind w:firstLine="0" w:firstLineChars="0"/>
              <w:jc w:val="center"/>
              <w:textAlignment w:val="center"/>
              <w:rPr>
                <w:rFonts w:ascii="仿宋_GB2312" w:hAnsi="Times New Roman" w:cs="Times New Roman"/>
                <w:sz w:val="21"/>
                <w:szCs w:val="21"/>
                <w:lang w:val="en-US" w:bidi="ar"/>
              </w:rPr>
            </w:pPr>
            <w:r>
              <w:rPr>
                <w:rFonts w:hint="eastAsia" w:ascii="仿宋_GB2312" w:hAnsi="方正仿宋_GB2312" w:cs="方正仿宋_GB2312"/>
                <w:sz w:val="21"/>
                <w:szCs w:val="21"/>
                <w:lang w:val="en-US" w:bidi="ar"/>
              </w:rPr>
              <w:t>双花村</w:t>
            </w:r>
          </w:p>
        </w:tc>
        <w:tc>
          <w:tcPr>
            <w:tcW w:w="843" w:type="pct"/>
            <w:tcBorders>
              <w:top w:val="nil"/>
              <w:left w:val="single" w:color="000000" w:sz="4" w:space="0"/>
              <w:bottom w:val="single" w:color="000000" w:sz="4" w:space="0"/>
              <w:right w:val="single" w:color="000000" w:sz="4" w:space="0"/>
            </w:tcBorders>
            <w:noWrap/>
            <w:vAlign w:val="center"/>
          </w:tcPr>
          <w:p w14:paraId="75B7E631">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113.322013</w:t>
            </w:r>
          </w:p>
        </w:tc>
        <w:tc>
          <w:tcPr>
            <w:tcW w:w="770" w:type="pct"/>
            <w:tcBorders>
              <w:top w:val="nil"/>
              <w:left w:val="single" w:color="000000" w:sz="4" w:space="0"/>
              <w:bottom w:val="single" w:color="000000" w:sz="4" w:space="0"/>
              <w:right w:val="single" w:color="000000" w:sz="4" w:space="0"/>
            </w:tcBorders>
            <w:noWrap/>
            <w:vAlign w:val="center"/>
          </w:tcPr>
          <w:p w14:paraId="75B7E632">
            <w:pPr>
              <w:widowControl/>
              <w:autoSpaceDE/>
              <w:autoSpaceDN/>
              <w:snapToGrid w:val="0"/>
              <w:spacing w:line="240" w:lineRule="auto"/>
              <w:ind w:firstLine="0" w:firstLineChars="0"/>
              <w:jc w:val="center"/>
              <w:textAlignment w:val="center"/>
              <w:rPr>
                <w:rFonts w:ascii="仿宋_GB2312" w:hAnsi="Times New Roman" w:cs="Times New Roman"/>
                <w:kern w:val="2"/>
                <w:sz w:val="21"/>
                <w:szCs w:val="21"/>
                <w:lang w:val="en-US" w:bidi="ar-SA"/>
              </w:rPr>
            </w:pPr>
            <w:r>
              <w:rPr>
                <w:rFonts w:hint="eastAsia" w:ascii="仿宋_GB2312" w:hAnsi="Times New Roman" w:cs="Times New Roman"/>
                <w:sz w:val="21"/>
                <w:szCs w:val="21"/>
                <w:lang w:val="en-US" w:bidi="ar"/>
              </w:rPr>
              <w:t>29.458388</w:t>
            </w:r>
          </w:p>
        </w:tc>
        <w:tc>
          <w:tcPr>
            <w:tcW w:w="508" w:type="pct"/>
            <w:tcBorders>
              <w:top w:val="single" w:color="000000" w:sz="4" w:space="0"/>
              <w:left w:val="single" w:color="000000" w:sz="4" w:space="0"/>
              <w:bottom w:val="single" w:color="000000" w:sz="4" w:space="0"/>
              <w:right w:val="single" w:color="000000" w:sz="4" w:space="0"/>
            </w:tcBorders>
            <w:noWrap/>
            <w:vAlign w:val="center"/>
          </w:tcPr>
          <w:p w14:paraId="75B7E633">
            <w:pPr>
              <w:widowControl/>
              <w:autoSpaceDE/>
              <w:autoSpaceDN/>
              <w:snapToGrid w:val="0"/>
              <w:spacing w:line="240" w:lineRule="auto"/>
              <w:ind w:firstLine="0" w:firstLineChars="0"/>
              <w:jc w:val="center"/>
              <w:textAlignment w:val="center"/>
              <w:rPr>
                <w:rFonts w:hint="eastAsia" w:ascii="仿宋_GB2312" w:hAnsi="方正仿宋_GB2312" w:cs="方正仿宋_GB2312"/>
                <w:kern w:val="2"/>
                <w:sz w:val="21"/>
                <w:szCs w:val="21"/>
                <w:lang w:val="en-US" w:bidi="ar-SA"/>
              </w:rPr>
            </w:pPr>
            <w:r>
              <w:rPr>
                <w:rFonts w:hint="eastAsia" w:ascii="仿宋_GB2312" w:hAnsi="方正仿宋_GB2312" w:cs="方正仿宋_GB2312"/>
                <w:sz w:val="21"/>
                <w:szCs w:val="21"/>
                <w:lang w:val="en-US" w:bidi="ar"/>
              </w:rPr>
              <w:t>新增</w:t>
            </w:r>
          </w:p>
        </w:tc>
      </w:tr>
    </w:tbl>
    <w:p w14:paraId="75B7E635">
      <w:pPr>
        <w:ind w:firstLine="480"/>
        <w:rPr>
          <w:rFonts w:hint="eastAsia"/>
        </w:rPr>
      </w:pPr>
    </w:p>
    <w:p w14:paraId="75B7E636">
      <w:pPr>
        <w:spacing w:line="240" w:lineRule="auto"/>
        <w:ind w:firstLine="0" w:firstLineChars="0"/>
        <w:rPr>
          <w:rFonts w:hint="eastAsia" w:ascii="方正仿宋_GB2312" w:hAnsi="方正仿宋_GB2312" w:eastAsia="方正仿宋_GB2312" w:cs="方正仿宋_GB2312"/>
          <w:sz w:val="28"/>
          <w:szCs w:val="28"/>
        </w:rPr>
      </w:pPr>
      <w:r>
        <w:rPr>
          <w:rFonts w:ascii="方正仿宋_GB2312" w:hAnsi="方正仿宋_GB2312" w:eastAsia="方正仿宋_GB2312" w:cs="方正仿宋_GB2312"/>
          <w:sz w:val="28"/>
          <w:szCs w:val="28"/>
        </w:rPr>
        <w:drawing>
          <wp:inline distT="0" distB="0" distL="114300" distR="114300">
            <wp:extent cx="5274310" cy="3079750"/>
            <wp:effectExtent l="0" t="0" r="8890" b="6350"/>
            <wp:docPr id="21" name="图片 21" descr="云溪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云溪区"/>
                    <pic:cNvPicPr>
                      <a:picLocks noChangeAspect="1"/>
                    </pic:cNvPicPr>
                  </pic:nvPicPr>
                  <pic:blipFill>
                    <a:blip r:embed="rId56"/>
                    <a:stretch>
                      <a:fillRect/>
                    </a:stretch>
                  </pic:blipFill>
                  <pic:spPr>
                    <a:xfrm>
                      <a:off x="0" y="0"/>
                      <a:ext cx="5274310" cy="3079787"/>
                    </a:xfrm>
                    <a:prstGeom prst="rect">
                      <a:avLst/>
                    </a:prstGeom>
                  </pic:spPr>
                </pic:pic>
              </a:graphicData>
            </a:graphic>
          </wp:inline>
        </w:drawing>
      </w:r>
    </w:p>
    <w:p w14:paraId="75B7E637">
      <w:pPr>
        <w:pStyle w:val="4"/>
        <w:rPr>
          <w:rFonts w:hint="eastAsia"/>
          <w:lang w:val="en-US"/>
        </w:rPr>
      </w:pPr>
      <w:bookmarkStart w:id="216" w:name="_Toc7859"/>
      <w:r>
        <w:rPr>
          <w:rFonts w:hint="eastAsia"/>
          <w:lang w:val="en-US"/>
        </w:rPr>
        <w:t>一体化云台摄像机（17台）</w:t>
      </w:r>
      <w:bookmarkEnd w:id="216"/>
    </w:p>
    <w:p w14:paraId="75B7E638">
      <w:pPr>
        <w:ind w:firstLine="480"/>
        <w:rPr>
          <w:rFonts w:hint="eastAsia"/>
        </w:rPr>
      </w:pPr>
      <w:r>
        <w:rPr>
          <w:rFonts w:hint="eastAsia"/>
          <w:lang w:val="en-US"/>
        </w:rPr>
        <w:t>一</w:t>
      </w:r>
      <w:r>
        <w:rPr>
          <w:rFonts w:hint="eastAsia"/>
        </w:rPr>
        <w:t>、前端监控布点原则</w:t>
      </w:r>
    </w:p>
    <w:p w14:paraId="75B7E639">
      <w:pPr>
        <w:ind w:firstLine="480"/>
        <w:rPr>
          <w:rFonts w:hint="eastAsia"/>
        </w:rPr>
      </w:pPr>
      <w:r>
        <w:rPr>
          <w:rFonts w:hint="eastAsia"/>
        </w:rPr>
        <w:t>（一）错位选址原则</w:t>
      </w:r>
    </w:p>
    <w:p w14:paraId="75B7E63A">
      <w:pPr>
        <w:ind w:firstLine="480"/>
        <w:rPr>
          <w:rFonts w:hint="eastAsia"/>
        </w:rPr>
      </w:pPr>
      <w:r>
        <w:rPr>
          <w:rFonts w:hint="eastAsia"/>
        </w:rPr>
        <w:t>充分利用自然资源和林业部门已建的高位视频监控资源，在规划选址过程中，注重错位布局原则，确保新监控点能够有效地避开已建视频监控的覆盖范围，并在周边和重点灾害风险无监控区域进行布点，从而形成互补的监控网络。</w:t>
      </w:r>
    </w:p>
    <w:p w14:paraId="75B7E63B">
      <w:pPr>
        <w:ind w:firstLine="480"/>
        <w:rPr>
          <w:rFonts w:hint="eastAsia"/>
        </w:rPr>
      </w:pPr>
      <w:r>
        <w:rPr>
          <w:rFonts w:hint="eastAsia"/>
        </w:rPr>
        <w:t>（二）补盲选址原则</w:t>
      </w:r>
    </w:p>
    <w:p w14:paraId="75B7E63C">
      <w:pPr>
        <w:ind w:firstLine="480"/>
        <w:rPr>
          <w:rFonts w:hint="eastAsia"/>
        </w:rPr>
      </w:pPr>
      <w:r>
        <w:rPr>
          <w:rFonts w:hint="eastAsia"/>
        </w:rPr>
        <w:t>在全省涉林区域已建的视频监控覆盖基础上，根据区域灾害风险的分布情况，结合现有高位视频监控点的覆盖范围及盲区分析，有针对性地增补现有监控网络的盲区，增强对灾害风险的监控和预警能力。</w:t>
      </w:r>
    </w:p>
    <w:p w14:paraId="75B7E63D">
      <w:pPr>
        <w:ind w:firstLine="480"/>
        <w:rPr>
          <w:rFonts w:hint="eastAsia"/>
        </w:rPr>
      </w:pPr>
      <w:r>
        <w:rPr>
          <w:rFonts w:hint="eastAsia"/>
        </w:rPr>
        <w:t>（三）优选高点杆塔原则</w:t>
      </w:r>
    </w:p>
    <w:p w14:paraId="75B7E63E">
      <w:pPr>
        <w:ind w:firstLine="480"/>
        <w:rPr>
          <w:rFonts w:hint="eastAsia"/>
        </w:rPr>
      </w:pPr>
      <w:r>
        <w:rPr>
          <w:rFonts w:hint="eastAsia"/>
        </w:rPr>
        <w:t>确保单点覆盖范围，优先选择林区的制高点杆塔作为建设位置，提供更广阔的视野和监控范围，使单点监控能够覆盖更广泛的区域。制高点杆塔还能减少地形和植被对监控设备的遮挡，提高监控效果。</w:t>
      </w:r>
    </w:p>
    <w:p w14:paraId="75B7E63F">
      <w:pPr>
        <w:ind w:firstLine="480"/>
        <w:rPr>
          <w:rFonts w:hint="eastAsia"/>
        </w:rPr>
      </w:pPr>
      <w:r>
        <w:rPr>
          <w:rFonts w:hint="eastAsia"/>
        </w:rPr>
        <w:t>（四）因地制宜布点原则</w:t>
      </w:r>
    </w:p>
    <w:p w14:paraId="75B7E640">
      <w:pPr>
        <w:ind w:firstLine="480"/>
        <w:rPr>
          <w:rFonts w:hint="eastAsia"/>
        </w:rPr>
      </w:pPr>
      <w:r>
        <w:rPr>
          <w:rFonts w:hint="eastAsia"/>
        </w:rPr>
        <w:t>结合区域数字高程地图模型，运用地理信息系统的空间分析，填充洼地、提取潜在山顶点、剔除不适合布设视频监控点的点位，选择林区相对制高点，监测视野相对开阔，监测面积相对广泛，对确立的所有监控点进行可视域分析，布点注重实效，保证热成像对高火点区域的有效识别。</w:t>
      </w:r>
    </w:p>
    <w:p w14:paraId="75B7E641">
      <w:pPr>
        <w:ind w:firstLine="480"/>
        <w:rPr>
          <w:rFonts w:hint="eastAsia"/>
        </w:rPr>
      </w:pPr>
      <w:r>
        <w:rPr>
          <w:rFonts w:hint="eastAsia"/>
        </w:rPr>
        <w:t>（五）基于场景类型布点原则</w:t>
      </w:r>
    </w:p>
    <w:p w14:paraId="75B7E642">
      <w:pPr>
        <w:ind w:firstLine="480"/>
        <w:rPr>
          <w:rFonts w:hint="eastAsia"/>
        </w:rPr>
      </w:pPr>
      <w:r>
        <w:rPr>
          <w:rFonts w:hint="eastAsia"/>
        </w:rPr>
        <w:t>布设的点位应最大限度的有利于观测林火多发区或易发区，最大限度地控制人员活动区或林地与耕地的结合区，优先选择布设在火险等级高的区域、扑救难度大的区域，优先布设在国有林场、自然保护地、公益林等重点林区。</w:t>
      </w:r>
    </w:p>
    <w:p w14:paraId="75B7E643">
      <w:pPr>
        <w:ind w:firstLine="480"/>
        <w:rPr>
          <w:rFonts w:hint="eastAsia"/>
        </w:rPr>
      </w:pPr>
      <w:r>
        <w:rPr>
          <w:rFonts w:hint="eastAsia"/>
        </w:rPr>
        <w:t>（六）疏密结合布点原则</w:t>
      </w:r>
    </w:p>
    <w:p w14:paraId="75B7E644">
      <w:pPr>
        <w:ind w:firstLine="480"/>
        <w:rPr>
          <w:rFonts w:hint="eastAsia"/>
        </w:rPr>
      </w:pPr>
      <w:r>
        <w:rPr>
          <w:rFonts w:hint="eastAsia"/>
        </w:rPr>
        <w:t>单个监控点位按照3KM、5KM为覆盖半径进行布设。其中3KM摄像机主要用于监控因可视范围内山体阻挡等原因、部分出现监控盲区、摄像机可视覆盖范围有限、不宜采用远距离监控点的区域；5KM摄像机主要用于高火险区的自然保护地、国有林场、位置较高、视野范围较宽阔的区域。</w:t>
      </w:r>
    </w:p>
    <w:p w14:paraId="75B7E64C">
      <w:pPr>
        <w:ind w:firstLine="480"/>
        <w:rPr>
          <w:rFonts w:hint="eastAsia"/>
          <w:lang w:val="en-US"/>
        </w:rPr>
      </w:pPr>
      <w:r>
        <w:rPr>
          <w:rFonts w:hint="eastAsia"/>
          <w:lang w:val="en-US" w:eastAsia="zh-CN"/>
        </w:rPr>
        <w:t>二</w:t>
      </w:r>
      <w:r>
        <w:rPr>
          <w:rFonts w:hint="eastAsia"/>
          <w:lang w:val="en-US"/>
        </w:rPr>
        <w:t>、布点方案</w:t>
      </w:r>
    </w:p>
    <w:p w14:paraId="75B7E64D">
      <w:pPr>
        <w:ind w:firstLine="480"/>
        <w:rPr>
          <w:rFonts w:hint="eastAsia"/>
          <w:lang w:val="en-US"/>
        </w:rPr>
      </w:pPr>
      <w:r>
        <w:rPr>
          <w:rFonts w:hint="eastAsia"/>
        </w:rPr>
        <w:t>本次项目根据岳阳市林地资源现状基础及项目实际，共</w:t>
      </w:r>
      <w:r>
        <w:rPr>
          <w:rFonts w:hint="eastAsia"/>
          <w:lang w:val="en-US"/>
        </w:rPr>
        <w:t>部署</w:t>
      </w:r>
      <w:r>
        <w:rPr>
          <w:rFonts w:hint="eastAsia"/>
        </w:rPr>
        <w:t>防火监控摄像机17台。其中一体化云台摄像机I型（3KM热成像）9台、一体化云台摄像机Ⅱ型（5KM热成像）8台。</w:t>
      </w:r>
      <w:r>
        <w:rPr>
          <w:rFonts w:hint="eastAsia"/>
          <w:lang w:val="en-US"/>
        </w:rPr>
        <w:t>具体如下：</w:t>
      </w:r>
    </w:p>
    <w:tbl>
      <w:tblPr>
        <w:tblStyle w:val="38"/>
        <w:tblpPr w:leftFromText="180" w:rightFromText="180" w:vertAnchor="text" w:tblpY="1"/>
        <w:tblOverlap w:val="never"/>
        <w:tblW w:w="492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0"/>
        <w:gridCol w:w="1036"/>
        <w:gridCol w:w="982"/>
        <w:gridCol w:w="730"/>
        <w:gridCol w:w="1283"/>
        <w:gridCol w:w="1204"/>
        <w:gridCol w:w="2305"/>
      </w:tblGrid>
      <w:tr w14:paraId="75B7E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92" w:type="pct"/>
            <w:shd w:val="clear" w:color="CCCCFF" w:fill="auto"/>
            <w:noWrap/>
            <w:vAlign w:val="center"/>
          </w:tcPr>
          <w:p w14:paraId="75B7E64E">
            <w:pPr>
              <w:keepNext/>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序号</w:t>
            </w:r>
          </w:p>
        </w:tc>
        <w:tc>
          <w:tcPr>
            <w:tcW w:w="632" w:type="pct"/>
            <w:shd w:val="clear" w:color="CCCCFF" w:fill="auto"/>
            <w:noWrap/>
            <w:vAlign w:val="center"/>
          </w:tcPr>
          <w:p w14:paraId="75B7E64F">
            <w:pPr>
              <w:keepNext/>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行政区域</w:t>
            </w:r>
          </w:p>
        </w:tc>
        <w:tc>
          <w:tcPr>
            <w:tcW w:w="600" w:type="pct"/>
            <w:shd w:val="clear" w:color="CCCCFF" w:fill="auto"/>
            <w:noWrap/>
            <w:vAlign w:val="center"/>
          </w:tcPr>
          <w:p w14:paraId="75B7E650">
            <w:pPr>
              <w:keepNext/>
              <w:widowControl/>
              <w:snapToGrid w:val="0"/>
              <w:spacing w:line="240" w:lineRule="auto"/>
              <w:ind w:firstLine="0" w:firstLineChars="0"/>
              <w:jc w:val="center"/>
              <w:textAlignment w:val="center"/>
              <w:rPr>
                <w:rFonts w:hint="eastAsia" w:ascii="仿宋_GB2312" w:hAnsi="方正仿宋_GB2312" w:cs="方正仿宋_GB2312"/>
                <w:b/>
                <w:bCs/>
                <w:sz w:val="21"/>
                <w:szCs w:val="21"/>
                <w:lang w:bidi="ar"/>
              </w:rPr>
            </w:pPr>
            <w:r>
              <w:rPr>
                <w:rFonts w:hint="eastAsia" w:ascii="仿宋_GB2312" w:hAnsi="方正仿宋_GB2312" w:cs="方正仿宋_GB2312"/>
                <w:b/>
                <w:bCs/>
                <w:sz w:val="21"/>
                <w:szCs w:val="21"/>
                <w:lang w:bidi="ar"/>
              </w:rPr>
              <w:t>乡镇</w:t>
            </w:r>
          </w:p>
          <w:p w14:paraId="75B7E651">
            <w:pPr>
              <w:keepNext/>
              <w:widowControl/>
              <w:snapToGrid w:val="0"/>
              <w:spacing w:line="240" w:lineRule="auto"/>
              <w:ind w:firstLine="0" w:firstLineChars="0"/>
              <w:jc w:val="center"/>
              <w:textAlignment w:val="center"/>
              <w:rPr>
                <w:rFonts w:hint="eastAsia" w:ascii="仿宋_GB2312" w:hAnsi="方正仿宋_GB2312" w:cs="方正仿宋_GB2312"/>
                <w:b/>
                <w:bCs/>
                <w:sz w:val="21"/>
                <w:szCs w:val="21"/>
                <w:lang w:bidi="ar"/>
              </w:rPr>
            </w:pPr>
            <w:r>
              <w:rPr>
                <w:rFonts w:hint="eastAsia" w:ascii="仿宋_GB2312" w:hAnsi="方正仿宋_GB2312" w:cs="方正仿宋_GB2312"/>
                <w:b/>
                <w:bCs/>
                <w:sz w:val="21"/>
                <w:szCs w:val="21"/>
                <w:lang w:bidi="ar"/>
              </w:rPr>
              <w:t>（街道）</w:t>
            </w:r>
          </w:p>
        </w:tc>
        <w:tc>
          <w:tcPr>
            <w:tcW w:w="446" w:type="pct"/>
            <w:shd w:val="clear" w:color="CCCCFF" w:fill="auto"/>
            <w:noWrap/>
            <w:vAlign w:val="center"/>
          </w:tcPr>
          <w:p w14:paraId="75B7E652">
            <w:pPr>
              <w:keepNext/>
              <w:widowControl/>
              <w:tabs>
                <w:tab w:val="left" w:pos="339"/>
              </w:tabs>
              <w:snapToGrid w:val="0"/>
              <w:spacing w:line="240" w:lineRule="auto"/>
              <w:ind w:firstLine="0" w:firstLineChars="0"/>
              <w:jc w:val="center"/>
              <w:textAlignment w:val="center"/>
              <w:rPr>
                <w:rFonts w:hint="eastAsia" w:ascii="仿宋_GB2312" w:hAnsi="方正仿宋_GB2312" w:cs="方正仿宋_GB2312"/>
                <w:b/>
                <w:bCs/>
                <w:sz w:val="21"/>
                <w:szCs w:val="21"/>
                <w:lang w:bidi="ar"/>
              </w:rPr>
            </w:pPr>
            <w:r>
              <w:rPr>
                <w:rFonts w:hint="eastAsia" w:ascii="仿宋_GB2312" w:hAnsi="方正仿宋_GB2312" w:cs="方正仿宋_GB2312"/>
                <w:b/>
                <w:bCs/>
                <w:sz w:val="21"/>
                <w:szCs w:val="21"/>
                <w:lang w:bidi="ar"/>
              </w:rPr>
              <w:t>村</w:t>
            </w:r>
          </w:p>
        </w:tc>
        <w:tc>
          <w:tcPr>
            <w:tcW w:w="783" w:type="pct"/>
            <w:shd w:val="clear" w:color="CCCCFF" w:fill="auto"/>
            <w:noWrap/>
            <w:vAlign w:val="center"/>
          </w:tcPr>
          <w:p w14:paraId="75B7E653">
            <w:pPr>
              <w:keepNext/>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经度</w:t>
            </w:r>
          </w:p>
        </w:tc>
        <w:tc>
          <w:tcPr>
            <w:tcW w:w="735" w:type="pct"/>
            <w:shd w:val="clear" w:color="CCCCFF" w:fill="auto"/>
            <w:noWrap/>
            <w:vAlign w:val="center"/>
          </w:tcPr>
          <w:p w14:paraId="75B7E654">
            <w:pPr>
              <w:keepNext/>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纬度</w:t>
            </w:r>
          </w:p>
        </w:tc>
        <w:tc>
          <w:tcPr>
            <w:tcW w:w="1408" w:type="pct"/>
            <w:shd w:val="clear" w:color="CCCCFF" w:fill="auto"/>
            <w:noWrap/>
            <w:vAlign w:val="center"/>
          </w:tcPr>
          <w:p w14:paraId="75B7E655">
            <w:pPr>
              <w:keepNext/>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备注</w:t>
            </w:r>
          </w:p>
        </w:tc>
      </w:tr>
      <w:tr w14:paraId="75B7E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5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w:t>
            </w:r>
          </w:p>
        </w:tc>
        <w:tc>
          <w:tcPr>
            <w:tcW w:w="632" w:type="pct"/>
            <w:noWrap/>
            <w:vAlign w:val="center"/>
          </w:tcPr>
          <w:p w14:paraId="75B7E65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岳阳楼区</w:t>
            </w:r>
          </w:p>
        </w:tc>
        <w:tc>
          <w:tcPr>
            <w:tcW w:w="600" w:type="pct"/>
            <w:noWrap/>
            <w:vAlign w:val="center"/>
          </w:tcPr>
          <w:p w14:paraId="75B7E65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湖滨街道</w:t>
            </w:r>
          </w:p>
        </w:tc>
        <w:tc>
          <w:tcPr>
            <w:tcW w:w="446" w:type="pct"/>
            <w:noWrap/>
            <w:vAlign w:val="center"/>
          </w:tcPr>
          <w:p w14:paraId="75B7E65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湖滨社区</w:t>
            </w:r>
          </w:p>
        </w:tc>
        <w:tc>
          <w:tcPr>
            <w:tcW w:w="783" w:type="pct"/>
            <w:noWrap/>
            <w:vAlign w:val="center"/>
          </w:tcPr>
          <w:p w14:paraId="75B7E65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113.077981</w:t>
            </w:r>
          </w:p>
        </w:tc>
        <w:tc>
          <w:tcPr>
            <w:tcW w:w="735" w:type="pct"/>
            <w:noWrap/>
            <w:vAlign w:val="center"/>
          </w:tcPr>
          <w:p w14:paraId="75B7E65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29.332381</w:t>
            </w:r>
          </w:p>
        </w:tc>
        <w:tc>
          <w:tcPr>
            <w:tcW w:w="1408" w:type="pct"/>
            <w:noWrap/>
            <w:vAlign w:val="center"/>
          </w:tcPr>
          <w:p w14:paraId="75B7E65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5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2</w:t>
            </w:r>
          </w:p>
        </w:tc>
        <w:tc>
          <w:tcPr>
            <w:tcW w:w="632" w:type="pct"/>
            <w:noWrap/>
            <w:vAlign w:val="center"/>
          </w:tcPr>
          <w:p w14:paraId="75B7E66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岳阳楼区</w:t>
            </w:r>
          </w:p>
        </w:tc>
        <w:tc>
          <w:tcPr>
            <w:tcW w:w="600" w:type="pct"/>
            <w:noWrap/>
            <w:vAlign w:val="center"/>
          </w:tcPr>
          <w:p w14:paraId="75B7E66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郭镇乡</w:t>
            </w:r>
          </w:p>
        </w:tc>
        <w:tc>
          <w:tcPr>
            <w:tcW w:w="446" w:type="pct"/>
            <w:noWrap/>
            <w:vAlign w:val="center"/>
          </w:tcPr>
          <w:p w14:paraId="75B7E66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磨刀村</w:t>
            </w:r>
          </w:p>
        </w:tc>
        <w:tc>
          <w:tcPr>
            <w:tcW w:w="783" w:type="pct"/>
            <w:noWrap/>
            <w:vAlign w:val="center"/>
          </w:tcPr>
          <w:p w14:paraId="75B7E66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113.117175</w:t>
            </w:r>
          </w:p>
        </w:tc>
        <w:tc>
          <w:tcPr>
            <w:tcW w:w="735" w:type="pct"/>
            <w:noWrap/>
            <w:vAlign w:val="center"/>
          </w:tcPr>
          <w:p w14:paraId="75B7E66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29.319147</w:t>
            </w:r>
          </w:p>
        </w:tc>
        <w:tc>
          <w:tcPr>
            <w:tcW w:w="1408" w:type="pct"/>
            <w:noWrap/>
            <w:vAlign w:val="center"/>
          </w:tcPr>
          <w:p w14:paraId="75B7E66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6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3</w:t>
            </w:r>
          </w:p>
        </w:tc>
        <w:tc>
          <w:tcPr>
            <w:tcW w:w="632" w:type="pct"/>
            <w:noWrap/>
            <w:vAlign w:val="center"/>
          </w:tcPr>
          <w:p w14:paraId="75B7E66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岳阳楼区</w:t>
            </w:r>
          </w:p>
        </w:tc>
        <w:tc>
          <w:tcPr>
            <w:tcW w:w="600" w:type="pct"/>
            <w:noWrap/>
            <w:vAlign w:val="center"/>
          </w:tcPr>
          <w:p w14:paraId="75B7E66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梅溪街道</w:t>
            </w:r>
          </w:p>
        </w:tc>
        <w:tc>
          <w:tcPr>
            <w:tcW w:w="446" w:type="pct"/>
            <w:noWrap/>
            <w:vAlign w:val="center"/>
          </w:tcPr>
          <w:p w14:paraId="75B7E66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花果畈社区</w:t>
            </w:r>
          </w:p>
        </w:tc>
        <w:tc>
          <w:tcPr>
            <w:tcW w:w="783" w:type="pct"/>
            <w:noWrap/>
            <w:vAlign w:val="center"/>
          </w:tcPr>
          <w:p w14:paraId="75B7E66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113.229402</w:t>
            </w:r>
          </w:p>
        </w:tc>
        <w:tc>
          <w:tcPr>
            <w:tcW w:w="735" w:type="pct"/>
            <w:noWrap/>
            <w:vAlign w:val="center"/>
          </w:tcPr>
          <w:p w14:paraId="75B7E66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29.374898</w:t>
            </w:r>
          </w:p>
        </w:tc>
        <w:tc>
          <w:tcPr>
            <w:tcW w:w="1408" w:type="pct"/>
            <w:noWrap/>
            <w:vAlign w:val="center"/>
          </w:tcPr>
          <w:p w14:paraId="75B7E66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r w14:paraId="75B7E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6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4</w:t>
            </w:r>
          </w:p>
        </w:tc>
        <w:tc>
          <w:tcPr>
            <w:tcW w:w="632" w:type="pct"/>
            <w:noWrap/>
            <w:vAlign w:val="center"/>
          </w:tcPr>
          <w:p w14:paraId="75B7E67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岳阳楼区</w:t>
            </w:r>
          </w:p>
        </w:tc>
        <w:tc>
          <w:tcPr>
            <w:tcW w:w="600" w:type="pct"/>
            <w:noWrap/>
            <w:vAlign w:val="center"/>
          </w:tcPr>
          <w:p w14:paraId="75B7E67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西塘镇</w:t>
            </w:r>
          </w:p>
        </w:tc>
        <w:tc>
          <w:tcPr>
            <w:tcW w:w="446" w:type="pct"/>
            <w:noWrap/>
            <w:vAlign w:val="center"/>
          </w:tcPr>
          <w:p w14:paraId="75B7E67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三荷社区居委会</w:t>
            </w:r>
          </w:p>
        </w:tc>
        <w:tc>
          <w:tcPr>
            <w:tcW w:w="783" w:type="pct"/>
            <w:noWrap/>
            <w:vAlign w:val="center"/>
          </w:tcPr>
          <w:p w14:paraId="75B7E67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113.289421</w:t>
            </w:r>
          </w:p>
        </w:tc>
        <w:tc>
          <w:tcPr>
            <w:tcW w:w="735" w:type="pct"/>
            <w:noWrap/>
            <w:vAlign w:val="center"/>
          </w:tcPr>
          <w:p w14:paraId="75B7E67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29.400721</w:t>
            </w:r>
          </w:p>
        </w:tc>
        <w:tc>
          <w:tcPr>
            <w:tcW w:w="1408" w:type="pct"/>
            <w:noWrap/>
            <w:vAlign w:val="center"/>
          </w:tcPr>
          <w:p w14:paraId="75B7E67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r w14:paraId="75B7E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7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5</w:t>
            </w:r>
          </w:p>
        </w:tc>
        <w:tc>
          <w:tcPr>
            <w:tcW w:w="632" w:type="pct"/>
            <w:noWrap/>
            <w:vAlign w:val="center"/>
          </w:tcPr>
          <w:p w14:paraId="75B7E67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云溪区</w:t>
            </w:r>
          </w:p>
        </w:tc>
        <w:tc>
          <w:tcPr>
            <w:tcW w:w="600" w:type="pct"/>
            <w:noWrap/>
            <w:vAlign w:val="center"/>
          </w:tcPr>
          <w:p w14:paraId="75B7E67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长岭街道</w:t>
            </w:r>
          </w:p>
        </w:tc>
        <w:tc>
          <w:tcPr>
            <w:tcW w:w="446" w:type="pct"/>
            <w:noWrap/>
            <w:vAlign w:val="center"/>
          </w:tcPr>
          <w:p w14:paraId="75B7E67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长岭街道</w:t>
            </w:r>
          </w:p>
        </w:tc>
        <w:tc>
          <w:tcPr>
            <w:tcW w:w="783" w:type="pct"/>
            <w:noWrap/>
            <w:vAlign w:val="center"/>
          </w:tcPr>
          <w:p w14:paraId="75B7E67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113.373223</w:t>
            </w:r>
          </w:p>
        </w:tc>
        <w:tc>
          <w:tcPr>
            <w:tcW w:w="735" w:type="pct"/>
            <w:noWrap/>
            <w:vAlign w:val="center"/>
          </w:tcPr>
          <w:p w14:paraId="75B7E67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29.572388</w:t>
            </w:r>
          </w:p>
        </w:tc>
        <w:tc>
          <w:tcPr>
            <w:tcW w:w="1408" w:type="pct"/>
            <w:noWrap/>
            <w:vAlign w:val="center"/>
          </w:tcPr>
          <w:p w14:paraId="75B7E67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7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6</w:t>
            </w:r>
          </w:p>
        </w:tc>
        <w:tc>
          <w:tcPr>
            <w:tcW w:w="632" w:type="pct"/>
            <w:noWrap/>
            <w:vAlign w:val="center"/>
          </w:tcPr>
          <w:p w14:paraId="75B7E68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云溪区</w:t>
            </w:r>
          </w:p>
        </w:tc>
        <w:tc>
          <w:tcPr>
            <w:tcW w:w="600" w:type="pct"/>
            <w:noWrap/>
            <w:vAlign w:val="center"/>
          </w:tcPr>
          <w:p w14:paraId="75B7E68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云溪街道</w:t>
            </w:r>
          </w:p>
        </w:tc>
        <w:tc>
          <w:tcPr>
            <w:tcW w:w="446" w:type="pct"/>
            <w:noWrap/>
            <w:vAlign w:val="center"/>
          </w:tcPr>
          <w:p w14:paraId="75B7E68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清溪村</w:t>
            </w:r>
          </w:p>
        </w:tc>
        <w:tc>
          <w:tcPr>
            <w:tcW w:w="783" w:type="pct"/>
            <w:noWrap/>
            <w:vAlign w:val="center"/>
          </w:tcPr>
          <w:p w14:paraId="75B7E68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113.351841</w:t>
            </w:r>
          </w:p>
        </w:tc>
        <w:tc>
          <w:tcPr>
            <w:tcW w:w="735" w:type="pct"/>
            <w:noWrap/>
            <w:vAlign w:val="center"/>
          </w:tcPr>
          <w:p w14:paraId="75B7E68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29.442423</w:t>
            </w:r>
          </w:p>
        </w:tc>
        <w:tc>
          <w:tcPr>
            <w:tcW w:w="1408" w:type="pct"/>
            <w:noWrap/>
            <w:vAlign w:val="center"/>
          </w:tcPr>
          <w:p w14:paraId="75B7E68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r w14:paraId="75B7E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8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7</w:t>
            </w:r>
          </w:p>
        </w:tc>
        <w:tc>
          <w:tcPr>
            <w:tcW w:w="632" w:type="pct"/>
            <w:noWrap/>
            <w:vAlign w:val="center"/>
          </w:tcPr>
          <w:p w14:paraId="75B7E68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岳阳县</w:t>
            </w:r>
          </w:p>
        </w:tc>
        <w:tc>
          <w:tcPr>
            <w:tcW w:w="600" w:type="pct"/>
            <w:noWrap/>
            <w:vAlign w:val="center"/>
          </w:tcPr>
          <w:p w14:paraId="75B7E68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荣家湾镇</w:t>
            </w:r>
          </w:p>
        </w:tc>
        <w:tc>
          <w:tcPr>
            <w:tcW w:w="446" w:type="pct"/>
            <w:noWrap/>
            <w:vAlign w:val="center"/>
          </w:tcPr>
          <w:p w14:paraId="75B7E68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兴园村</w:t>
            </w:r>
          </w:p>
        </w:tc>
        <w:tc>
          <w:tcPr>
            <w:tcW w:w="783" w:type="pct"/>
            <w:noWrap/>
            <w:vAlign w:val="center"/>
          </w:tcPr>
          <w:p w14:paraId="75B7E68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113.175277</w:t>
            </w:r>
          </w:p>
        </w:tc>
        <w:tc>
          <w:tcPr>
            <w:tcW w:w="735" w:type="pct"/>
            <w:noWrap/>
            <w:vAlign w:val="center"/>
          </w:tcPr>
          <w:p w14:paraId="75B7E68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29.133056</w:t>
            </w:r>
          </w:p>
        </w:tc>
        <w:tc>
          <w:tcPr>
            <w:tcW w:w="1408" w:type="pct"/>
            <w:noWrap/>
            <w:vAlign w:val="center"/>
          </w:tcPr>
          <w:p w14:paraId="75B7E68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8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8</w:t>
            </w:r>
          </w:p>
        </w:tc>
        <w:tc>
          <w:tcPr>
            <w:tcW w:w="632" w:type="pct"/>
            <w:noWrap/>
            <w:vAlign w:val="center"/>
          </w:tcPr>
          <w:p w14:paraId="75B7E69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岳阳县</w:t>
            </w:r>
          </w:p>
        </w:tc>
        <w:tc>
          <w:tcPr>
            <w:tcW w:w="600" w:type="pct"/>
            <w:noWrap/>
            <w:vAlign w:val="center"/>
          </w:tcPr>
          <w:p w14:paraId="75B7E69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张谷英镇</w:t>
            </w:r>
          </w:p>
        </w:tc>
        <w:tc>
          <w:tcPr>
            <w:tcW w:w="446" w:type="pct"/>
            <w:noWrap/>
            <w:vAlign w:val="center"/>
          </w:tcPr>
          <w:p w14:paraId="75B7E69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天龙村</w:t>
            </w:r>
          </w:p>
        </w:tc>
        <w:tc>
          <w:tcPr>
            <w:tcW w:w="783" w:type="pct"/>
            <w:noWrap/>
            <w:vAlign w:val="center"/>
          </w:tcPr>
          <w:p w14:paraId="75B7E69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113.538687</w:t>
            </w:r>
          </w:p>
        </w:tc>
        <w:tc>
          <w:tcPr>
            <w:tcW w:w="735" w:type="pct"/>
            <w:noWrap/>
            <w:vAlign w:val="center"/>
          </w:tcPr>
          <w:p w14:paraId="75B7E69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29.059811</w:t>
            </w:r>
          </w:p>
        </w:tc>
        <w:tc>
          <w:tcPr>
            <w:tcW w:w="1408" w:type="pct"/>
            <w:noWrap/>
            <w:vAlign w:val="center"/>
          </w:tcPr>
          <w:p w14:paraId="75B7E69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9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9</w:t>
            </w:r>
          </w:p>
        </w:tc>
        <w:tc>
          <w:tcPr>
            <w:tcW w:w="632" w:type="pct"/>
            <w:noWrap/>
            <w:vAlign w:val="center"/>
          </w:tcPr>
          <w:p w14:paraId="75B7E69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岳阳县</w:t>
            </w:r>
          </w:p>
        </w:tc>
        <w:tc>
          <w:tcPr>
            <w:tcW w:w="600" w:type="pct"/>
            <w:noWrap/>
            <w:vAlign w:val="center"/>
          </w:tcPr>
          <w:p w14:paraId="75B7E69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月田镇</w:t>
            </w:r>
          </w:p>
        </w:tc>
        <w:tc>
          <w:tcPr>
            <w:tcW w:w="446" w:type="pct"/>
            <w:noWrap/>
            <w:vAlign w:val="center"/>
          </w:tcPr>
          <w:p w14:paraId="75B7E69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月东村</w:t>
            </w:r>
          </w:p>
        </w:tc>
        <w:tc>
          <w:tcPr>
            <w:tcW w:w="783" w:type="pct"/>
            <w:noWrap/>
            <w:vAlign w:val="center"/>
          </w:tcPr>
          <w:p w14:paraId="75B7E69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113.613761</w:t>
            </w:r>
          </w:p>
        </w:tc>
        <w:tc>
          <w:tcPr>
            <w:tcW w:w="735" w:type="pct"/>
            <w:noWrap/>
            <w:vAlign w:val="center"/>
          </w:tcPr>
          <w:p w14:paraId="75B7E69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29.030299</w:t>
            </w:r>
          </w:p>
        </w:tc>
        <w:tc>
          <w:tcPr>
            <w:tcW w:w="1408" w:type="pct"/>
            <w:noWrap/>
            <w:vAlign w:val="center"/>
          </w:tcPr>
          <w:p w14:paraId="75B7E69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r w14:paraId="75B7E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9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10</w:t>
            </w:r>
          </w:p>
        </w:tc>
        <w:tc>
          <w:tcPr>
            <w:tcW w:w="632" w:type="pct"/>
            <w:noWrap/>
            <w:vAlign w:val="center"/>
          </w:tcPr>
          <w:p w14:paraId="75B7E6A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汨罗市</w:t>
            </w:r>
          </w:p>
        </w:tc>
        <w:tc>
          <w:tcPr>
            <w:tcW w:w="600" w:type="pct"/>
            <w:noWrap/>
            <w:vAlign w:val="center"/>
          </w:tcPr>
          <w:p w14:paraId="75B7E6A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川山坪镇</w:t>
            </w:r>
          </w:p>
        </w:tc>
        <w:tc>
          <w:tcPr>
            <w:tcW w:w="446" w:type="pct"/>
            <w:noWrap/>
            <w:vAlign w:val="center"/>
          </w:tcPr>
          <w:p w14:paraId="75B7E6A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三姊村</w:t>
            </w:r>
          </w:p>
        </w:tc>
        <w:tc>
          <w:tcPr>
            <w:tcW w:w="783" w:type="pct"/>
            <w:noWrap/>
            <w:vAlign w:val="center"/>
          </w:tcPr>
          <w:p w14:paraId="75B7E6A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113.000277</w:t>
            </w:r>
          </w:p>
        </w:tc>
        <w:tc>
          <w:tcPr>
            <w:tcW w:w="735" w:type="pct"/>
            <w:noWrap/>
            <w:vAlign w:val="center"/>
          </w:tcPr>
          <w:p w14:paraId="75B7E6A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28.574444</w:t>
            </w:r>
          </w:p>
        </w:tc>
        <w:tc>
          <w:tcPr>
            <w:tcW w:w="1408" w:type="pct"/>
            <w:noWrap/>
            <w:vAlign w:val="center"/>
          </w:tcPr>
          <w:p w14:paraId="75B7E6A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A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11</w:t>
            </w:r>
          </w:p>
        </w:tc>
        <w:tc>
          <w:tcPr>
            <w:tcW w:w="632" w:type="pct"/>
            <w:noWrap/>
            <w:vAlign w:val="center"/>
          </w:tcPr>
          <w:p w14:paraId="75B7E6A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汨罗市</w:t>
            </w:r>
          </w:p>
        </w:tc>
        <w:tc>
          <w:tcPr>
            <w:tcW w:w="600" w:type="pct"/>
            <w:noWrap/>
            <w:vAlign w:val="center"/>
          </w:tcPr>
          <w:p w14:paraId="75B7E6A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川山坪镇</w:t>
            </w:r>
          </w:p>
        </w:tc>
        <w:tc>
          <w:tcPr>
            <w:tcW w:w="446" w:type="pct"/>
            <w:noWrap/>
            <w:vAlign w:val="center"/>
          </w:tcPr>
          <w:p w14:paraId="75B7E6A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玉池山村</w:t>
            </w:r>
          </w:p>
        </w:tc>
        <w:tc>
          <w:tcPr>
            <w:tcW w:w="783" w:type="pct"/>
            <w:noWrap/>
            <w:vAlign w:val="center"/>
          </w:tcPr>
          <w:p w14:paraId="75B7E6A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113.108901</w:t>
            </w:r>
          </w:p>
        </w:tc>
        <w:tc>
          <w:tcPr>
            <w:tcW w:w="735" w:type="pct"/>
            <w:noWrap/>
            <w:vAlign w:val="center"/>
          </w:tcPr>
          <w:p w14:paraId="75B7E6A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28.608154</w:t>
            </w:r>
          </w:p>
        </w:tc>
        <w:tc>
          <w:tcPr>
            <w:tcW w:w="1408" w:type="pct"/>
            <w:noWrap/>
            <w:vAlign w:val="center"/>
          </w:tcPr>
          <w:p w14:paraId="75B7E6A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r w14:paraId="75B7E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A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12</w:t>
            </w:r>
          </w:p>
        </w:tc>
        <w:tc>
          <w:tcPr>
            <w:tcW w:w="632" w:type="pct"/>
            <w:noWrap/>
            <w:vAlign w:val="center"/>
          </w:tcPr>
          <w:p w14:paraId="75B7E6B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600" w:type="pct"/>
            <w:noWrap/>
            <w:vAlign w:val="center"/>
          </w:tcPr>
          <w:p w14:paraId="75B7E6B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瓮江镇</w:t>
            </w:r>
          </w:p>
        </w:tc>
        <w:tc>
          <w:tcPr>
            <w:tcW w:w="446" w:type="pct"/>
            <w:noWrap/>
            <w:vAlign w:val="center"/>
          </w:tcPr>
          <w:p w14:paraId="75B7E6B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兴和村民委员会</w:t>
            </w:r>
          </w:p>
        </w:tc>
        <w:tc>
          <w:tcPr>
            <w:tcW w:w="783" w:type="pct"/>
            <w:noWrap/>
            <w:vAlign w:val="center"/>
          </w:tcPr>
          <w:p w14:paraId="75B7E6B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113.378333</w:t>
            </w:r>
          </w:p>
        </w:tc>
        <w:tc>
          <w:tcPr>
            <w:tcW w:w="735" w:type="pct"/>
            <w:noWrap/>
            <w:vAlign w:val="center"/>
          </w:tcPr>
          <w:p w14:paraId="75B7E6B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28.703611</w:t>
            </w:r>
          </w:p>
        </w:tc>
        <w:tc>
          <w:tcPr>
            <w:tcW w:w="1408" w:type="pct"/>
            <w:noWrap/>
            <w:vAlign w:val="center"/>
          </w:tcPr>
          <w:p w14:paraId="75B7E6B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B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13</w:t>
            </w:r>
          </w:p>
        </w:tc>
        <w:tc>
          <w:tcPr>
            <w:tcW w:w="632" w:type="pct"/>
            <w:noWrap/>
            <w:vAlign w:val="center"/>
          </w:tcPr>
          <w:p w14:paraId="75B7E6B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600" w:type="pct"/>
            <w:noWrap/>
            <w:vAlign w:val="center"/>
          </w:tcPr>
          <w:p w14:paraId="75B7E6B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安定镇</w:t>
            </w:r>
          </w:p>
        </w:tc>
        <w:tc>
          <w:tcPr>
            <w:tcW w:w="446" w:type="pct"/>
            <w:noWrap/>
            <w:vAlign w:val="center"/>
          </w:tcPr>
          <w:p w14:paraId="75B7E6B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安定村民委员会</w:t>
            </w:r>
          </w:p>
        </w:tc>
        <w:tc>
          <w:tcPr>
            <w:tcW w:w="783" w:type="pct"/>
            <w:noWrap/>
            <w:vAlign w:val="center"/>
          </w:tcPr>
          <w:p w14:paraId="75B7E6B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113.222726</w:t>
            </w:r>
          </w:p>
        </w:tc>
        <w:tc>
          <w:tcPr>
            <w:tcW w:w="735" w:type="pct"/>
            <w:noWrap/>
            <w:vAlign w:val="center"/>
          </w:tcPr>
          <w:p w14:paraId="75B7E6B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28.722212</w:t>
            </w:r>
          </w:p>
        </w:tc>
        <w:tc>
          <w:tcPr>
            <w:tcW w:w="1408" w:type="pct"/>
            <w:noWrap/>
            <w:vAlign w:val="center"/>
          </w:tcPr>
          <w:p w14:paraId="75B7E6B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B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14</w:t>
            </w:r>
          </w:p>
        </w:tc>
        <w:tc>
          <w:tcPr>
            <w:tcW w:w="632" w:type="pct"/>
            <w:noWrap/>
            <w:vAlign w:val="center"/>
          </w:tcPr>
          <w:p w14:paraId="75B7E6C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600" w:type="pct"/>
            <w:noWrap/>
            <w:vAlign w:val="center"/>
          </w:tcPr>
          <w:p w14:paraId="75B7E6C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加义镇</w:t>
            </w:r>
          </w:p>
        </w:tc>
        <w:tc>
          <w:tcPr>
            <w:tcW w:w="446" w:type="pct"/>
            <w:noWrap/>
            <w:vAlign w:val="center"/>
          </w:tcPr>
          <w:p w14:paraId="75B7E6C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芦头村民委员会</w:t>
            </w:r>
          </w:p>
        </w:tc>
        <w:tc>
          <w:tcPr>
            <w:tcW w:w="783" w:type="pct"/>
            <w:noWrap/>
            <w:vAlign w:val="center"/>
          </w:tcPr>
          <w:p w14:paraId="75B7E6C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113.913758</w:t>
            </w:r>
          </w:p>
        </w:tc>
        <w:tc>
          <w:tcPr>
            <w:tcW w:w="735" w:type="pct"/>
            <w:noWrap/>
            <w:vAlign w:val="center"/>
          </w:tcPr>
          <w:p w14:paraId="75B7E6C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28.559803</w:t>
            </w:r>
          </w:p>
        </w:tc>
        <w:tc>
          <w:tcPr>
            <w:tcW w:w="1408" w:type="pct"/>
            <w:noWrap/>
            <w:vAlign w:val="center"/>
          </w:tcPr>
          <w:p w14:paraId="75B7E6C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r w14:paraId="75B7E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C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15</w:t>
            </w:r>
          </w:p>
        </w:tc>
        <w:tc>
          <w:tcPr>
            <w:tcW w:w="632" w:type="pct"/>
            <w:noWrap/>
            <w:vAlign w:val="center"/>
          </w:tcPr>
          <w:p w14:paraId="75B7E6C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600" w:type="pct"/>
            <w:noWrap/>
            <w:vAlign w:val="center"/>
          </w:tcPr>
          <w:p w14:paraId="75B7E6C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长寿镇</w:t>
            </w:r>
          </w:p>
        </w:tc>
        <w:tc>
          <w:tcPr>
            <w:tcW w:w="446" w:type="pct"/>
            <w:noWrap/>
            <w:vAlign w:val="center"/>
          </w:tcPr>
          <w:p w14:paraId="75B7E6C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茶</w:t>
            </w:r>
            <w:r>
              <w:rPr>
                <w:rFonts w:hint="eastAsia" w:ascii="微软雅黑" w:hAnsi="微软雅黑" w:eastAsia="微软雅黑" w:cs="微软雅黑"/>
                <w:sz w:val="21"/>
                <w:szCs w:val="21"/>
                <w:lang w:bidi="ar"/>
              </w:rPr>
              <w:t>塅</w:t>
            </w:r>
            <w:r>
              <w:rPr>
                <w:rFonts w:hint="eastAsia" w:ascii="仿宋_GB2312" w:hAnsi="仿宋_GB2312" w:cs="仿宋_GB2312"/>
                <w:sz w:val="21"/>
                <w:szCs w:val="21"/>
                <w:lang w:bidi="ar"/>
              </w:rPr>
              <w:t>村民委员会</w:t>
            </w:r>
          </w:p>
        </w:tc>
        <w:tc>
          <w:tcPr>
            <w:tcW w:w="783" w:type="pct"/>
            <w:noWrap/>
            <w:vAlign w:val="center"/>
          </w:tcPr>
          <w:p w14:paraId="75B7E6C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114.056309</w:t>
            </w:r>
          </w:p>
        </w:tc>
        <w:tc>
          <w:tcPr>
            <w:tcW w:w="735" w:type="pct"/>
            <w:noWrap/>
            <w:vAlign w:val="center"/>
          </w:tcPr>
          <w:p w14:paraId="75B7E6C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28.582636</w:t>
            </w:r>
          </w:p>
        </w:tc>
        <w:tc>
          <w:tcPr>
            <w:tcW w:w="1408" w:type="pct"/>
            <w:noWrap/>
            <w:vAlign w:val="center"/>
          </w:tcPr>
          <w:p w14:paraId="75B7E6C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r w14:paraId="75B7E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CF">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16</w:t>
            </w:r>
          </w:p>
        </w:tc>
        <w:tc>
          <w:tcPr>
            <w:tcW w:w="632" w:type="pct"/>
            <w:noWrap/>
            <w:vAlign w:val="center"/>
          </w:tcPr>
          <w:p w14:paraId="75B7E6D0">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临湘市</w:t>
            </w:r>
          </w:p>
        </w:tc>
        <w:tc>
          <w:tcPr>
            <w:tcW w:w="600" w:type="pct"/>
            <w:noWrap/>
            <w:vAlign w:val="center"/>
          </w:tcPr>
          <w:p w14:paraId="75B7E6D1">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坦渡镇</w:t>
            </w:r>
          </w:p>
        </w:tc>
        <w:tc>
          <w:tcPr>
            <w:tcW w:w="446" w:type="pct"/>
            <w:noWrap/>
            <w:vAlign w:val="center"/>
          </w:tcPr>
          <w:p w14:paraId="75B7E6D2">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万峰村</w:t>
            </w:r>
          </w:p>
        </w:tc>
        <w:tc>
          <w:tcPr>
            <w:tcW w:w="783" w:type="pct"/>
            <w:noWrap/>
            <w:vAlign w:val="center"/>
          </w:tcPr>
          <w:p w14:paraId="75B7E6D3">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113.639554</w:t>
            </w:r>
          </w:p>
        </w:tc>
        <w:tc>
          <w:tcPr>
            <w:tcW w:w="735" w:type="pct"/>
            <w:noWrap/>
            <w:vAlign w:val="center"/>
          </w:tcPr>
          <w:p w14:paraId="75B7E6D4">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29.585973</w:t>
            </w:r>
          </w:p>
        </w:tc>
        <w:tc>
          <w:tcPr>
            <w:tcW w:w="1408" w:type="pct"/>
            <w:noWrap/>
            <w:vAlign w:val="center"/>
          </w:tcPr>
          <w:p w14:paraId="75B7E6D5">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新增一体化云台摄像机I型（3KM热成像）</w:t>
            </w:r>
          </w:p>
        </w:tc>
      </w:tr>
      <w:tr w14:paraId="75B7E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2" w:type="pct"/>
            <w:noWrap/>
            <w:vAlign w:val="center"/>
          </w:tcPr>
          <w:p w14:paraId="75B7E6D7">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17</w:t>
            </w:r>
          </w:p>
        </w:tc>
        <w:tc>
          <w:tcPr>
            <w:tcW w:w="632" w:type="pct"/>
            <w:noWrap/>
            <w:vAlign w:val="center"/>
          </w:tcPr>
          <w:p w14:paraId="75B7E6D8">
            <w:pPr>
              <w:keepNext/>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临湘市</w:t>
            </w:r>
          </w:p>
        </w:tc>
        <w:tc>
          <w:tcPr>
            <w:tcW w:w="600" w:type="pct"/>
            <w:noWrap/>
            <w:vAlign w:val="center"/>
          </w:tcPr>
          <w:p w14:paraId="75B7E6D9">
            <w:pPr>
              <w:keepNext/>
              <w:widowControl/>
              <w:snapToGrid w:val="0"/>
              <w:spacing w:line="240" w:lineRule="auto"/>
              <w:ind w:firstLine="0" w:firstLineChars="0"/>
              <w:jc w:val="center"/>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羊楼司镇</w:t>
            </w:r>
          </w:p>
        </w:tc>
        <w:tc>
          <w:tcPr>
            <w:tcW w:w="446" w:type="pct"/>
            <w:noWrap/>
            <w:vAlign w:val="center"/>
          </w:tcPr>
          <w:p w14:paraId="75B7E6DA">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华文仿宋" w:cs="华文仿宋"/>
                <w:sz w:val="21"/>
                <w:szCs w:val="21"/>
                <w:lang w:bidi="ar"/>
              </w:rPr>
              <w:t>尖山社区</w:t>
            </w:r>
          </w:p>
        </w:tc>
        <w:tc>
          <w:tcPr>
            <w:tcW w:w="783" w:type="pct"/>
            <w:noWrap/>
            <w:vAlign w:val="center"/>
          </w:tcPr>
          <w:p w14:paraId="75B7E6DB">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113.6077</w:t>
            </w:r>
          </w:p>
        </w:tc>
        <w:tc>
          <w:tcPr>
            <w:tcW w:w="735" w:type="pct"/>
            <w:noWrap/>
            <w:vAlign w:val="center"/>
          </w:tcPr>
          <w:p w14:paraId="75B7E6DC">
            <w:pPr>
              <w:keepNext/>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29.4064</w:t>
            </w:r>
          </w:p>
        </w:tc>
        <w:tc>
          <w:tcPr>
            <w:tcW w:w="1408" w:type="pct"/>
            <w:noWrap/>
            <w:vAlign w:val="center"/>
          </w:tcPr>
          <w:p w14:paraId="75B7E6DD">
            <w:pPr>
              <w:keepNext/>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新增一体化云台摄像机Ⅱ型（5KM热成像）</w:t>
            </w:r>
          </w:p>
        </w:tc>
      </w:tr>
    </w:tbl>
    <w:p w14:paraId="75B7E6DF">
      <w:pPr>
        <w:ind w:firstLine="480"/>
        <w:rPr>
          <w:rFonts w:hint="eastAsia"/>
          <w:lang w:val="en-US"/>
        </w:rPr>
      </w:pPr>
    </w:p>
    <w:p w14:paraId="75B7E6E0">
      <w:pPr>
        <w:ind w:firstLine="480"/>
        <w:rPr>
          <w:rFonts w:hint="eastAsia"/>
          <w:lang w:val="en-US"/>
        </w:rPr>
      </w:pPr>
    </w:p>
    <w:p w14:paraId="75B7E6E1">
      <w:pPr>
        <w:spacing w:line="240" w:lineRule="auto"/>
        <w:ind w:firstLine="0" w:firstLineChars="0"/>
        <w:rPr>
          <w:rFonts w:hint="eastAsia"/>
          <w:lang w:val="en-US"/>
        </w:rPr>
      </w:pPr>
      <w:r>
        <w:rPr>
          <w:rFonts w:hint="eastAsia" w:ascii="方正仿宋_GB2312" w:hAnsi="方正仿宋_GB2312" w:eastAsia="方正仿宋_GB2312" w:cs="方正仿宋_GB2312"/>
          <w:sz w:val="28"/>
          <w:szCs w:val="28"/>
        </w:rPr>
        <w:drawing>
          <wp:inline distT="0" distB="0" distL="114300" distR="114300">
            <wp:extent cx="5274310" cy="3079750"/>
            <wp:effectExtent l="0" t="0" r="8890" b="6350"/>
            <wp:docPr id="22" name="图片 22" descr="云台分布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云台分布图"/>
                    <pic:cNvPicPr>
                      <a:picLocks noChangeAspect="1"/>
                    </pic:cNvPicPr>
                  </pic:nvPicPr>
                  <pic:blipFill>
                    <a:blip r:embed="rId57"/>
                    <a:stretch>
                      <a:fillRect/>
                    </a:stretch>
                  </pic:blipFill>
                  <pic:spPr>
                    <a:xfrm>
                      <a:off x="0" y="0"/>
                      <a:ext cx="5274310" cy="3079787"/>
                    </a:xfrm>
                    <a:prstGeom prst="rect">
                      <a:avLst/>
                    </a:prstGeom>
                  </pic:spPr>
                </pic:pic>
              </a:graphicData>
            </a:graphic>
          </wp:inline>
        </w:drawing>
      </w:r>
    </w:p>
    <w:p w14:paraId="7784FF0E">
      <w:pPr>
        <w:pStyle w:val="4"/>
        <w:rPr>
          <w:rFonts w:hint="eastAsia"/>
          <w:lang w:val="en-US"/>
        </w:rPr>
      </w:pPr>
      <w:bookmarkStart w:id="217" w:name="_Toc3444"/>
      <w:r>
        <w:rPr>
          <w:rFonts w:hint="eastAsia"/>
          <w:lang w:val="en-US" w:eastAsia="zh-CN"/>
        </w:rPr>
        <w:t>超短波</w:t>
      </w:r>
      <w:r>
        <w:rPr>
          <w:rFonts w:hint="eastAsia"/>
          <w:lang w:val="en-US"/>
        </w:rPr>
        <w:t>固定基站（5套）</w:t>
      </w:r>
      <w:bookmarkEnd w:id="217"/>
    </w:p>
    <w:p w14:paraId="2741758E">
      <w:pPr>
        <w:ind w:firstLine="480"/>
        <w:rPr>
          <w:rFonts w:hint="eastAsia"/>
        </w:rPr>
      </w:pPr>
      <w:r>
        <w:t>一、核心布局原则</w:t>
      </w:r>
    </w:p>
    <w:p w14:paraId="511FA6DD">
      <w:pPr>
        <w:ind w:firstLine="480"/>
        <w:rPr>
          <w:rFonts w:hint="eastAsia"/>
        </w:rPr>
      </w:pPr>
      <w:r>
        <w:t>1. 覆盖最大化原则</w:t>
      </w:r>
    </w:p>
    <w:p w14:paraId="5E6334C3">
      <w:pPr>
        <w:ind w:firstLine="480"/>
        <w:rPr>
          <w:rFonts w:hint="eastAsia"/>
        </w:rPr>
      </w:pPr>
      <w:r>
        <w:t>制高点优先：优先选择林区已建通信铁塔的制高点，利用地形优势提升信号覆盖范围，确保单点覆盖半径≥5公里</w:t>
      </w:r>
      <w:r>
        <w:rPr>
          <w:rFonts w:hint="eastAsia"/>
        </w:rPr>
        <w:t>；</w:t>
      </w:r>
    </w:p>
    <w:p w14:paraId="3B7487EA">
      <w:pPr>
        <w:ind w:firstLine="480"/>
        <w:rPr>
          <w:rFonts w:hint="eastAsia"/>
        </w:rPr>
      </w:pPr>
      <w:r>
        <w:t>全域覆盖：通过5个基站的合理布局，实现岳阳市</w:t>
      </w:r>
      <w:r>
        <w:rPr>
          <w:rFonts w:hint="eastAsia"/>
        </w:rPr>
        <w:t>重点</w:t>
      </w:r>
      <w:r>
        <w:t>林区的信号覆盖，重点覆盖平江县、汨罗市等林区面积较大的区域</w:t>
      </w:r>
      <w:r>
        <w:rPr>
          <w:rFonts w:hint="eastAsia"/>
        </w:rPr>
        <w:t>；</w:t>
      </w:r>
    </w:p>
    <w:p w14:paraId="6CAD67E7">
      <w:pPr>
        <w:ind w:firstLine="480"/>
        <w:rPr>
          <w:rFonts w:hint="eastAsia"/>
        </w:rPr>
      </w:pPr>
      <w:r>
        <w:t>盲区填补：针对地形复杂、信号难以到达的区域，通过多跳通信链路实现信号延伸，填补覆盖盲区</w:t>
      </w:r>
      <w:r>
        <w:rPr>
          <w:rFonts w:hint="eastAsia"/>
        </w:rPr>
        <w:t>；</w:t>
      </w:r>
    </w:p>
    <w:p w14:paraId="68932CD3">
      <w:pPr>
        <w:ind w:firstLine="480"/>
        <w:rPr>
          <w:rFonts w:hint="eastAsia"/>
        </w:rPr>
      </w:pPr>
      <w:r>
        <w:t>2. 资源复用原则</w:t>
      </w:r>
    </w:p>
    <w:p w14:paraId="69E2867D">
      <w:pPr>
        <w:ind w:firstLine="480"/>
        <w:rPr>
          <w:rFonts w:hint="eastAsia"/>
        </w:rPr>
      </w:pPr>
      <w:r>
        <w:t>依托现有设施：优先利用已有的通信铁塔、供电线路和网络资源，减少建设成本，加快建设进度</w:t>
      </w:r>
    </w:p>
    <w:p w14:paraId="3F218B1D">
      <w:pPr>
        <w:ind w:firstLine="480"/>
        <w:rPr>
          <w:rFonts w:hint="eastAsia"/>
        </w:rPr>
      </w:pPr>
      <w:r>
        <w:t>共享基础设施：与森林防火视频监控系统等其他系统共享杆塔资源，避免重复建设，提升资源利用率</w:t>
      </w:r>
    </w:p>
    <w:p w14:paraId="573736EF">
      <w:pPr>
        <w:ind w:firstLine="480"/>
        <w:rPr>
          <w:rFonts w:hint="eastAsia"/>
        </w:rPr>
      </w:pPr>
      <w:r>
        <w:t>融合通信网络：与公网、卫星网等多种网络通过网关互通，实现语音和数据的回传，提升通信保障能力</w:t>
      </w:r>
    </w:p>
    <w:p w14:paraId="0E7EBDD4">
      <w:pPr>
        <w:ind w:firstLine="480"/>
        <w:rPr>
          <w:rFonts w:hint="eastAsia"/>
        </w:rPr>
      </w:pPr>
      <w:r>
        <w:t>3. 应急适配原则</w:t>
      </w:r>
    </w:p>
    <w:p w14:paraId="7CCA29B7">
      <w:pPr>
        <w:ind w:firstLine="480"/>
        <w:rPr>
          <w:rFonts w:hint="eastAsia"/>
        </w:rPr>
      </w:pPr>
      <w:r>
        <w:t>快速响应：基站部署位置需便于应急车辆快速抵达，车载台和背负台能够快速组网，满足应急通信需求</w:t>
      </w:r>
    </w:p>
    <w:p w14:paraId="50FCABC0">
      <w:pPr>
        <w:ind w:firstLine="480"/>
        <w:rPr>
          <w:rFonts w:hint="eastAsia"/>
        </w:rPr>
      </w:pPr>
      <w:r>
        <w:t>自组网能力：固定基站需具备与移动基站、背负台的自组网能力，确保在应急情况下能够快速搭建通信网络</w:t>
      </w:r>
    </w:p>
    <w:p w14:paraId="777101DF">
      <w:pPr>
        <w:ind w:firstLine="480"/>
        <w:rPr>
          <w:rFonts w:hint="eastAsia"/>
        </w:rPr>
      </w:pPr>
      <w:r>
        <w:t>网络自愈：当某一基站故障时，其他基站能够自动调整链路，确保通信畅通，提升系统可靠性</w:t>
      </w:r>
    </w:p>
    <w:p w14:paraId="0F141E1B">
      <w:pPr>
        <w:ind w:firstLine="480"/>
        <w:rPr>
          <w:rFonts w:hint="eastAsia"/>
        </w:rPr>
      </w:pPr>
      <w:r>
        <w:t>二、点位布局具体要求</w:t>
      </w:r>
    </w:p>
    <w:p w14:paraId="7E39A52E">
      <w:pPr>
        <w:ind w:firstLine="480"/>
        <w:rPr>
          <w:rFonts w:hint="eastAsia"/>
        </w:rPr>
      </w:pPr>
      <w:r>
        <w:t>1. 选址勘测要求</w:t>
      </w:r>
    </w:p>
    <w:p w14:paraId="1F0AA622">
      <w:pPr>
        <w:ind w:firstLine="480"/>
        <w:rPr>
          <w:rFonts w:hint="eastAsia"/>
        </w:rPr>
      </w:pPr>
      <w:r>
        <w:t>现场勘查：每站点需进行现场地形测量，确认制高点位置、信号覆盖范围、供电和网络资源情况</w:t>
      </w:r>
    </w:p>
    <w:p w14:paraId="4683F11D">
      <w:pPr>
        <w:ind w:firstLine="480"/>
        <w:rPr>
          <w:rFonts w:hint="eastAsia"/>
        </w:rPr>
      </w:pPr>
      <w:r>
        <w:t>坐标精度：采用CGCS2000国家大地坐标系，点位定位误差≤±0.5m，高程基准采用1985国家高程基准</w:t>
      </w:r>
    </w:p>
    <w:p w14:paraId="0AB132FD">
      <w:pPr>
        <w:ind w:firstLine="480"/>
        <w:rPr>
          <w:rFonts w:hint="eastAsia"/>
        </w:rPr>
      </w:pPr>
      <w:r>
        <w:t>电磁环境评估：避开强电磁波干扰区域（如雷达站、微波站），确保信号传输稳定</w:t>
      </w:r>
    </w:p>
    <w:p w14:paraId="0F05BE8C">
      <w:pPr>
        <w:ind w:firstLine="480"/>
        <w:rPr>
          <w:rFonts w:hint="eastAsia"/>
        </w:rPr>
      </w:pPr>
      <w:r>
        <w:t>2. 间距与覆盖要求</w:t>
      </w:r>
    </w:p>
    <w:p w14:paraId="687731C7">
      <w:pPr>
        <w:ind w:firstLine="480"/>
        <w:rPr>
          <w:rFonts w:hint="eastAsia"/>
        </w:rPr>
      </w:pPr>
      <w:r>
        <w:t>合理间距：根据林区地形和信号传播特性，基站间距控制在20-30公里，确保信号能够有效覆盖，同时避免信号干扰</w:t>
      </w:r>
    </w:p>
    <w:p w14:paraId="16833CBA">
      <w:pPr>
        <w:ind w:firstLine="480"/>
        <w:rPr>
          <w:rFonts w:hint="eastAsia"/>
        </w:rPr>
      </w:pPr>
      <w:r>
        <w:t>交叉覆盖：相邻基站需形成交叉覆盖区域，提升信号冗余度，确保在某一基站故障时仍能保持通信</w:t>
      </w:r>
    </w:p>
    <w:p w14:paraId="5A8CEA09">
      <w:pPr>
        <w:ind w:firstLine="480"/>
        <w:rPr>
          <w:rFonts w:hint="eastAsia"/>
        </w:rPr>
      </w:pPr>
      <w:r>
        <w:t>重点区域加密：针对林区面积较大、地形复杂的区域（如平江县），可适当增加基站数量或部署自组网背负台，提升覆盖密度</w:t>
      </w:r>
    </w:p>
    <w:p w14:paraId="3D987776">
      <w:pPr>
        <w:ind w:firstLine="480"/>
        <w:rPr>
          <w:rFonts w:hint="eastAsia"/>
        </w:rPr>
      </w:pPr>
      <w:r>
        <w:t>3. 配套设施要求</w:t>
      </w:r>
    </w:p>
    <w:p w14:paraId="50C9B0DB">
      <w:pPr>
        <w:ind w:firstLine="480"/>
        <w:rPr>
          <w:rFonts w:hint="eastAsia"/>
        </w:rPr>
      </w:pPr>
      <w:r>
        <w:t>供电保障：优先采用市电供电，确保设备24小时稳定运行；偏远区域可配置备用电源，保障应急情况下的供电需求</w:t>
      </w:r>
    </w:p>
    <w:p w14:paraId="7274A6A9">
      <w:pPr>
        <w:ind w:firstLine="480"/>
        <w:rPr>
          <w:rFonts w:hint="eastAsia"/>
        </w:rPr>
      </w:pPr>
      <w:r>
        <w:t>防雷接地：严格按照防雷设计要求施工，接地电阻≤4Ω，确保设备防雷安全</w:t>
      </w:r>
    </w:p>
    <w:p w14:paraId="6F085FE2">
      <w:pPr>
        <w:ind w:firstLine="480"/>
        <w:rPr>
          <w:rFonts w:hint="eastAsia"/>
        </w:rPr>
      </w:pPr>
      <w:r>
        <w:t>网络连接：确保基站具备稳定的网络连接，支持IP组网，实现与指挥中心的通信和数据传输</w:t>
      </w:r>
    </w:p>
    <w:p w14:paraId="63886D7F">
      <w:pPr>
        <w:ind w:firstLine="480"/>
        <w:rPr>
          <w:rFonts w:hint="eastAsia"/>
          <w:lang w:val="en-US"/>
        </w:rPr>
      </w:pPr>
      <w:r>
        <w:rPr>
          <w:rFonts w:hint="eastAsia"/>
          <w:lang w:val="en-US"/>
        </w:rPr>
        <w:t>三、点位布局设计</w:t>
      </w:r>
    </w:p>
    <w:p w14:paraId="797C5B8A">
      <w:pPr>
        <w:ind w:firstLine="480"/>
        <w:rPr>
          <w:rFonts w:hint="eastAsia"/>
        </w:rPr>
      </w:pPr>
      <w:r>
        <w:t>符合行业标准：严格按照《通信管道与光（电）缆敷设工程施工及验收规范》等行业标准进行建设，确保系统标准化、规范化</w:t>
      </w:r>
    </w:p>
    <w:p w14:paraId="4330A19A">
      <w:pPr>
        <w:ind w:firstLine="480"/>
        <w:rPr>
          <w:rFonts w:hint="eastAsia"/>
        </w:rPr>
      </w:pPr>
      <w:r>
        <w:t>满足管理需求：结合岳阳市森林防火实际情况，基站布局需符合地方森林防火应急预案和管理要求，提升森林防火通信保障能力</w:t>
      </w:r>
    </w:p>
    <w:p w14:paraId="37B5A4DF">
      <w:pPr>
        <w:ind w:firstLine="480"/>
        <w:rPr>
          <w:rFonts w:hint="eastAsia"/>
        </w:rPr>
      </w:pPr>
      <w:r>
        <w:t>环保要求：基站建设需符合环境保护要求，减少对生态环境的影响，确保可持续发展</w:t>
      </w:r>
    </w:p>
    <w:p w14:paraId="261BB1D5">
      <w:pPr>
        <w:ind w:firstLine="480"/>
        <w:rPr>
          <w:rFonts w:hint="eastAsia"/>
          <w:lang w:val="en-US"/>
        </w:rPr>
      </w:pPr>
      <w:r>
        <w:rPr>
          <w:rFonts w:hint="eastAsia"/>
          <w:lang w:val="en-US"/>
        </w:rPr>
        <w:t>点位分布如下：</w:t>
      </w:r>
    </w:p>
    <w:tbl>
      <w:tblPr>
        <w:tblStyle w:val="38"/>
        <w:tblW w:w="0" w:type="auto"/>
        <w:tblInd w:w="96" w:type="dxa"/>
        <w:tblLayout w:type="fixed"/>
        <w:tblCellMar>
          <w:top w:w="0" w:type="dxa"/>
          <w:left w:w="108" w:type="dxa"/>
          <w:bottom w:w="0" w:type="dxa"/>
          <w:right w:w="108" w:type="dxa"/>
        </w:tblCellMar>
      </w:tblPr>
      <w:tblGrid>
        <w:gridCol w:w="570"/>
        <w:gridCol w:w="1426"/>
        <w:gridCol w:w="1250"/>
        <w:gridCol w:w="2132"/>
        <w:gridCol w:w="1471"/>
        <w:gridCol w:w="1426"/>
      </w:tblGrid>
      <w:tr w14:paraId="15006EDC">
        <w:tblPrEx>
          <w:tblCellMar>
            <w:top w:w="0" w:type="dxa"/>
            <w:left w:w="108" w:type="dxa"/>
            <w:bottom w:w="0" w:type="dxa"/>
            <w:right w:w="108" w:type="dxa"/>
          </w:tblCellMar>
        </w:tblPrEx>
        <w:tc>
          <w:tcPr>
            <w:tcW w:w="570" w:type="dxa"/>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23443215">
            <w:pPr>
              <w:widowControl/>
              <w:ind w:firstLine="0" w:firstLineChars="0"/>
              <w:jc w:val="both"/>
              <w:textAlignment w:val="center"/>
              <w:rPr>
                <w:rFonts w:hint="eastAsia" w:ascii="仿宋" w:hAnsi="仿宋" w:eastAsia="仿宋" w:cs="仿宋"/>
                <w:b/>
                <w:bCs/>
                <w:color w:val="000000"/>
                <w:szCs w:val="24"/>
              </w:rPr>
            </w:pPr>
            <w:r>
              <w:rPr>
                <w:rFonts w:hint="eastAsia" w:ascii="仿宋" w:hAnsi="仿宋" w:eastAsia="仿宋" w:cs="仿宋"/>
                <w:b/>
                <w:bCs/>
                <w:color w:val="000000"/>
                <w:szCs w:val="24"/>
                <w:lang w:val="en-US" w:bidi="ar"/>
              </w:rPr>
              <w:t>序号</w:t>
            </w:r>
          </w:p>
        </w:tc>
        <w:tc>
          <w:tcPr>
            <w:tcW w:w="1426" w:type="dxa"/>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16166BDF">
            <w:pPr>
              <w:widowControl/>
              <w:ind w:firstLine="0" w:firstLineChars="0"/>
              <w:jc w:val="both"/>
              <w:textAlignment w:val="center"/>
              <w:rPr>
                <w:rFonts w:hint="eastAsia" w:ascii="仿宋" w:hAnsi="仿宋" w:eastAsia="仿宋" w:cs="仿宋"/>
                <w:b/>
                <w:bCs/>
                <w:color w:val="000000"/>
                <w:szCs w:val="24"/>
              </w:rPr>
            </w:pPr>
            <w:r>
              <w:rPr>
                <w:rFonts w:hint="eastAsia" w:ascii="仿宋" w:hAnsi="仿宋" w:eastAsia="仿宋" w:cs="仿宋"/>
                <w:b/>
                <w:bCs/>
                <w:color w:val="000000"/>
                <w:szCs w:val="24"/>
                <w:lang w:val="en-US" w:bidi="ar"/>
              </w:rPr>
              <w:t>行政区域</w:t>
            </w:r>
          </w:p>
        </w:tc>
        <w:tc>
          <w:tcPr>
            <w:tcW w:w="1250" w:type="dxa"/>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6167ADC3">
            <w:pPr>
              <w:widowControl/>
              <w:ind w:firstLine="0" w:firstLineChars="0"/>
              <w:jc w:val="both"/>
              <w:textAlignment w:val="center"/>
              <w:rPr>
                <w:rFonts w:hint="eastAsia" w:ascii="仿宋" w:hAnsi="仿宋" w:eastAsia="仿宋" w:cs="仿宋"/>
                <w:b/>
                <w:bCs/>
                <w:color w:val="000000"/>
                <w:szCs w:val="24"/>
              </w:rPr>
            </w:pPr>
            <w:r>
              <w:rPr>
                <w:rFonts w:hint="eastAsia" w:ascii="仿宋" w:hAnsi="仿宋" w:eastAsia="仿宋" w:cs="仿宋"/>
                <w:b/>
                <w:bCs/>
                <w:color w:val="000000"/>
                <w:szCs w:val="24"/>
                <w:lang w:val="en-US" w:bidi="ar"/>
              </w:rPr>
              <w:t>乡镇</w:t>
            </w:r>
          </w:p>
        </w:tc>
        <w:tc>
          <w:tcPr>
            <w:tcW w:w="2132" w:type="dxa"/>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23B42202">
            <w:pPr>
              <w:widowControl/>
              <w:ind w:firstLine="0" w:firstLineChars="0"/>
              <w:jc w:val="both"/>
              <w:textAlignment w:val="center"/>
              <w:rPr>
                <w:rFonts w:hint="eastAsia" w:ascii="仿宋" w:hAnsi="仿宋" w:eastAsia="仿宋" w:cs="仿宋"/>
                <w:b/>
                <w:bCs/>
                <w:color w:val="000000"/>
                <w:szCs w:val="24"/>
              </w:rPr>
            </w:pPr>
            <w:r>
              <w:rPr>
                <w:rFonts w:hint="eastAsia" w:ascii="仿宋" w:hAnsi="仿宋" w:eastAsia="仿宋" w:cs="仿宋"/>
                <w:b/>
                <w:bCs/>
                <w:color w:val="000000"/>
                <w:szCs w:val="24"/>
                <w:lang w:val="en-US" w:bidi="ar"/>
              </w:rPr>
              <w:t>小地名</w:t>
            </w:r>
          </w:p>
        </w:tc>
        <w:tc>
          <w:tcPr>
            <w:tcW w:w="1471" w:type="dxa"/>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07D0DC9B">
            <w:pPr>
              <w:widowControl/>
              <w:ind w:firstLine="0" w:firstLineChars="0"/>
              <w:jc w:val="both"/>
              <w:textAlignment w:val="center"/>
              <w:rPr>
                <w:rFonts w:hint="eastAsia" w:ascii="仿宋" w:hAnsi="仿宋" w:eastAsia="仿宋" w:cs="仿宋"/>
                <w:b/>
                <w:bCs/>
                <w:color w:val="000000"/>
                <w:szCs w:val="24"/>
              </w:rPr>
            </w:pPr>
            <w:r>
              <w:rPr>
                <w:rFonts w:hint="eastAsia" w:ascii="仿宋" w:hAnsi="仿宋" w:eastAsia="仿宋" w:cs="仿宋"/>
                <w:b/>
                <w:bCs/>
                <w:color w:val="000000"/>
                <w:szCs w:val="24"/>
                <w:lang w:val="en-US" w:bidi="ar"/>
              </w:rPr>
              <w:t>经度</w:t>
            </w:r>
          </w:p>
        </w:tc>
        <w:tc>
          <w:tcPr>
            <w:tcW w:w="1426" w:type="dxa"/>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25F93953">
            <w:pPr>
              <w:widowControl/>
              <w:ind w:firstLine="0" w:firstLineChars="0"/>
              <w:jc w:val="both"/>
              <w:textAlignment w:val="center"/>
              <w:rPr>
                <w:rFonts w:hint="eastAsia" w:ascii="仿宋" w:hAnsi="仿宋" w:eastAsia="仿宋" w:cs="仿宋"/>
                <w:b/>
                <w:bCs/>
                <w:color w:val="000000"/>
                <w:szCs w:val="24"/>
              </w:rPr>
            </w:pPr>
            <w:r>
              <w:rPr>
                <w:rFonts w:hint="eastAsia" w:ascii="仿宋" w:hAnsi="仿宋" w:eastAsia="仿宋" w:cs="仿宋"/>
                <w:b/>
                <w:bCs/>
                <w:color w:val="000000"/>
                <w:szCs w:val="24"/>
                <w:lang w:val="en-US" w:bidi="ar"/>
              </w:rPr>
              <w:t>纬度</w:t>
            </w:r>
          </w:p>
        </w:tc>
      </w:tr>
      <w:tr w14:paraId="2739AF99">
        <w:tblPrEx>
          <w:tblCellMar>
            <w:top w:w="0" w:type="dxa"/>
            <w:left w:w="108" w:type="dxa"/>
            <w:bottom w:w="0" w:type="dxa"/>
            <w:right w:w="108" w:type="dxa"/>
          </w:tblCellMar>
        </w:tblPrEx>
        <w:tc>
          <w:tcPr>
            <w:tcW w:w="570" w:type="dxa"/>
            <w:tcBorders>
              <w:top w:val="single" w:color="000000" w:sz="4" w:space="0"/>
              <w:left w:val="single" w:color="000000" w:sz="4" w:space="0"/>
              <w:bottom w:val="single" w:color="000000" w:sz="4" w:space="0"/>
              <w:right w:val="single" w:color="000000" w:sz="4" w:space="0"/>
            </w:tcBorders>
            <w:noWrap/>
            <w:vAlign w:val="bottom"/>
          </w:tcPr>
          <w:p w14:paraId="680FCE11">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1</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55A2DECB">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临湘市</w:t>
            </w:r>
          </w:p>
        </w:tc>
        <w:tc>
          <w:tcPr>
            <w:tcW w:w="1250" w:type="dxa"/>
            <w:tcBorders>
              <w:top w:val="single" w:color="000000" w:sz="4" w:space="0"/>
              <w:left w:val="single" w:color="000000" w:sz="4" w:space="0"/>
              <w:bottom w:val="single" w:color="000000" w:sz="4" w:space="0"/>
              <w:right w:val="single" w:color="000000" w:sz="4" w:space="0"/>
            </w:tcBorders>
            <w:noWrap/>
            <w:vAlign w:val="bottom"/>
          </w:tcPr>
          <w:p w14:paraId="528CA80B">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城区西南</w:t>
            </w:r>
          </w:p>
        </w:tc>
        <w:tc>
          <w:tcPr>
            <w:tcW w:w="2132" w:type="dxa"/>
            <w:tcBorders>
              <w:top w:val="single" w:color="000000" w:sz="4" w:space="0"/>
              <w:left w:val="single" w:color="000000" w:sz="4" w:space="0"/>
              <w:bottom w:val="single" w:color="000000" w:sz="4" w:space="0"/>
              <w:right w:val="single" w:color="000000" w:sz="4" w:space="0"/>
            </w:tcBorders>
            <w:noWrap/>
            <w:vAlign w:val="bottom"/>
          </w:tcPr>
          <w:p w14:paraId="0FB0C6A9">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五尖山</w:t>
            </w:r>
          </w:p>
        </w:tc>
        <w:tc>
          <w:tcPr>
            <w:tcW w:w="1471" w:type="dxa"/>
            <w:tcBorders>
              <w:top w:val="single" w:color="000000" w:sz="4" w:space="0"/>
              <w:left w:val="single" w:color="000000" w:sz="4" w:space="0"/>
              <w:bottom w:val="single" w:color="000000" w:sz="4" w:space="0"/>
              <w:right w:val="single" w:color="000000" w:sz="4" w:space="0"/>
            </w:tcBorders>
            <w:noWrap/>
            <w:vAlign w:val="bottom"/>
          </w:tcPr>
          <w:p w14:paraId="623548E3">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113.401944</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7C0B36A7">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29.480001</w:t>
            </w:r>
          </w:p>
        </w:tc>
      </w:tr>
      <w:tr w14:paraId="2009EA20">
        <w:tblPrEx>
          <w:tblCellMar>
            <w:top w:w="0" w:type="dxa"/>
            <w:left w:w="108" w:type="dxa"/>
            <w:bottom w:w="0" w:type="dxa"/>
            <w:right w:w="108" w:type="dxa"/>
          </w:tblCellMar>
        </w:tblPrEx>
        <w:tc>
          <w:tcPr>
            <w:tcW w:w="570" w:type="dxa"/>
            <w:tcBorders>
              <w:top w:val="single" w:color="000000" w:sz="4" w:space="0"/>
              <w:left w:val="single" w:color="000000" w:sz="4" w:space="0"/>
              <w:bottom w:val="single" w:color="000000" w:sz="4" w:space="0"/>
              <w:right w:val="single" w:color="000000" w:sz="4" w:space="0"/>
            </w:tcBorders>
            <w:noWrap/>
            <w:vAlign w:val="bottom"/>
          </w:tcPr>
          <w:p w14:paraId="457122E6">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2</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4C3F6F44">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岳阳楼区</w:t>
            </w:r>
          </w:p>
        </w:tc>
        <w:tc>
          <w:tcPr>
            <w:tcW w:w="1250" w:type="dxa"/>
            <w:tcBorders>
              <w:top w:val="single" w:color="000000" w:sz="4" w:space="0"/>
              <w:left w:val="single" w:color="000000" w:sz="4" w:space="0"/>
              <w:bottom w:val="single" w:color="000000" w:sz="4" w:space="0"/>
              <w:right w:val="single" w:color="000000" w:sz="4" w:space="0"/>
            </w:tcBorders>
            <w:noWrap/>
            <w:vAlign w:val="bottom"/>
          </w:tcPr>
          <w:p w14:paraId="7DBD3CD3">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西塘</w:t>
            </w:r>
          </w:p>
        </w:tc>
        <w:tc>
          <w:tcPr>
            <w:tcW w:w="2132" w:type="dxa"/>
            <w:tcBorders>
              <w:top w:val="single" w:color="000000" w:sz="4" w:space="0"/>
              <w:left w:val="single" w:color="000000" w:sz="4" w:space="0"/>
              <w:bottom w:val="single" w:color="000000" w:sz="4" w:space="0"/>
              <w:right w:val="single" w:color="000000" w:sz="4" w:space="0"/>
            </w:tcBorders>
            <w:noWrap/>
            <w:vAlign w:val="bottom"/>
          </w:tcPr>
          <w:p w14:paraId="3A51D817">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花果村</w:t>
            </w:r>
          </w:p>
        </w:tc>
        <w:tc>
          <w:tcPr>
            <w:tcW w:w="1471" w:type="dxa"/>
            <w:tcBorders>
              <w:top w:val="single" w:color="000000" w:sz="4" w:space="0"/>
              <w:left w:val="single" w:color="000000" w:sz="4" w:space="0"/>
              <w:bottom w:val="single" w:color="000000" w:sz="4" w:space="0"/>
              <w:right w:val="single" w:color="000000" w:sz="4" w:space="0"/>
            </w:tcBorders>
            <w:noWrap/>
            <w:vAlign w:val="bottom"/>
          </w:tcPr>
          <w:p w14:paraId="40FCF90E">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113.229402</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3D6B976D">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29.374898</w:t>
            </w:r>
          </w:p>
        </w:tc>
      </w:tr>
      <w:tr w14:paraId="72893160">
        <w:tblPrEx>
          <w:tblCellMar>
            <w:top w:w="0" w:type="dxa"/>
            <w:left w:w="108" w:type="dxa"/>
            <w:bottom w:w="0" w:type="dxa"/>
            <w:right w:w="108" w:type="dxa"/>
          </w:tblCellMar>
        </w:tblPrEx>
        <w:tc>
          <w:tcPr>
            <w:tcW w:w="570" w:type="dxa"/>
            <w:tcBorders>
              <w:top w:val="single" w:color="000000" w:sz="4" w:space="0"/>
              <w:left w:val="single" w:color="000000" w:sz="4" w:space="0"/>
              <w:bottom w:val="single" w:color="000000" w:sz="4" w:space="0"/>
              <w:right w:val="single" w:color="000000" w:sz="4" w:space="0"/>
            </w:tcBorders>
            <w:noWrap/>
            <w:vAlign w:val="bottom"/>
          </w:tcPr>
          <w:p w14:paraId="0F68A62A">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3</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378932FA">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岳阳县</w:t>
            </w:r>
          </w:p>
        </w:tc>
        <w:tc>
          <w:tcPr>
            <w:tcW w:w="1250" w:type="dxa"/>
            <w:tcBorders>
              <w:top w:val="single" w:color="000000" w:sz="4" w:space="0"/>
              <w:left w:val="single" w:color="000000" w:sz="4" w:space="0"/>
              <w:bottom w:val="single" w:color="000000" w:sz="4" w:space="0"/>
              <w:right w:val="single" w:color="000000" w:sz="4" w:space="0"/>
            </w:tcBorders>
            <w:noWrap/>
            <w:vAlign w:val="bottom"/>
          </w:tcPr>
          <w:p w14:paraId="1EEECBCF">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张谷英</w:t>
            </w:r>
          </w:p>
        </w:tc>
        <w:tc>
          <w:tcPr>
            <w:tcW w:w="2132" w:type="dxa"/>
            <w:tcBorders>
              <w:top w:val="single" w:color="000000" w:sz="4" w:space="0"/>
              <w:left w:val="single" w:color="000000" w:sz="4" w:space="0"/>
              <w:bottom w:val="single" w:color="000000" w:sz="4" w:space="0"/>
              <w:right w:val="single" w:color="000000" w:sz="4" w:space="0"/>
            </w:tcBorders>
            <w:noWrap/>
            <w:vAlign w:val="bottom"/>
          </w:tcPr>
          <w:p w14:paraId="1E4C4883">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大峰山</w:t>
            </w:r>
          </w:p>
        </w:tc>
        <w:tc>
          <w:tcPr>
            <w:tcW w:w="1471" w:type="dxa"/>
            <w:tcBorders>
              <w:top w:val="single" w:color="000000" w:sz="4" w:space="0"/>
              <w:left w:val="single" w:color="000000" w:sz="4" w:space="0"/>
              <w:bottom w:val="single" w:color="000000" w:sz="4" w:space="0"/>
              <w:right w:val="single" w:color="000000" w:sz="4" w:space="0"/>
            </w:tcBorders>
            <w:noWrap/>
            <w:vAlign w:val="bottom"/>
          </w:tcPr>
          <w:p w14:paraId="3EF02609">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113.467523</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603AB124">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29.036944</w:t>
            </w:r>
          </w:p>
        </w:tc>
      </w:tr>
      <w:tr w14:paraId="1FF0B296">
        <w:tblPrEx>
          <w:tblCellMar>
            <w:top w:w="0" w:type="dxa"/>
            <w:left w:w="108" w:type="dxa"/>
            <w:bottom w:w="0" w:type="dxa"/>
            <w:right w:w="108" w:type="dxa"/>
          </w:tblCellMar>
        </w:tblPrEx>
        <w:tc>
          <w:tcPr>
            <w:tcW w:w="570" w:type="dxa"/>
            <w:tcBorders>
              <w:top w:val="single" w:color="000000" w:sz="4" w:space="0"/>
              <w:left w:val="single" w:color="000000" w:sz="4" w:space="0"/>
              <w:bottom w:val="single" w:color="000000" w:sz="4" w:space="0"/>
              <w:right w:val="single" w:color="000000" w:sz="4" w:space="0"/>
            </w:tcBorders>
            <w:noWrap/>
            <w:vAlign w:val="bottom"/>
          </w:tcPr>
          <w:p w14:paraId="1341F0CC">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4</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52312DBC">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汨罗市</w:t>
            </w:r>
          </w:p>
        </w:tc>
        <w:tc>
          <w:tcPr>
            <w:tcW w:w="1250" w:type="dxa"/>
            <w:tcBorders>
              <w:top w:val="single" w:color="000000" w:sz="4" w:space="0"/>
              <w:left w:val="single" w:color="000000" w:sz="4" w:space="0"/>
              <w:bottom w:val="single" w:color="000000" w:sz="4" w:space="0"/>
              <w:right w:val="single" w:color="000000" w:sz="4" w:space="0"/>
            </w:tcBorders>
            <w:noWrap/>
            <w:vAlign w:val="bottom"/>
          </w:tcPr>
          <w:p w14:paraId="50006619">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神鼎村</w:t>
            </w:r>
          </w:p>
        </w:tc>
        <w:tc>
          <w:tcPr>
            <w:tcW w:w="2132" w:type="dxa"/>
            <w:tcBorders>
              <w:top w:val="single" w:color="000000" w:sz="4" w:space="0"/>
              <w:left w:val="single" w:color="000000" w:sz="4" w:space="0"/>
              <w:bottom w:val="single" w:color="000000" w:sz="4" w:space="0"/>
              <w:right w:val="single" w:color="000000" w:sz="4" w:space="0"/>
            </w:tcBorders>
            <w:noWrap/>
            <w:vAlign w:val="bottom"/>
          </w:tcPr>
          <w:p w14:paraId="50B718CA">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黄柏神鼎村</w:t>
            </w:r>
          </w:p>
        </w:tc>
        <w:tc>
          <w:tcPr>
            <w:tcW w:w="1471" w:type="dxa"/>
            <w:tcBorders>
              <w:top w:val="single" w:color="000000" w:sz="4" w:space="0"/>
              <w:left w:val="single" w:color="000000" w:sz="4" w:space="0"/>
              <w:bottom w:val="single" w:color="000000" w:sz="4" w:space="0"/>
              <w:right w:val="single" w:color="000000" w:sz="4" w:space="0"/>
            </w:tcBorders>
            <w:noWrap/>
            <w:vAlign w:val="bottom"/>
          </w:tcPr>
          <w:p w14:paraId="65EA610D">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113.133055</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6CDA3591">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28.686111</w:t>
            </w:r>
          </w:p>
        </w:tc>
      </w:tr>
      <w:tr w14:paraId="398D53C8">
        <w:tblPrEx>
          <w:tblCellMar>
            <w:top w:w="0" w:type="dxa"/>
            <w:left w:w="108" w:type="dxa"/>
            <w:bottom w:w="0" w:type="dxa"/>
            <w:right w:w="108" w:type="dxa"/>
          </w:tblCellMar>
        </w:tblPrEx>
        <w:tc>
          <w:tcPr>
            <w:tcW w:w="570" w:type="dxa"/>
            <w:tcBorders>
              <w:top w:val="single" w:color="000000" w:sz="4" w:space="0"/>
              <w:left w:val="single" w:color="000000" w:sz="4" w:space="0"/>
              <w:bottom w:val="single" w:color="000000" w:sz="4" w:space="0"/>
              <w:right w:val="single" w:color="000000" w:sz="4" w:space="0"/>
            </w:tcBorders>
            <w:noWrap/>
            <w:vAlign w:val="bottom"/>
          </w:tcPr>
          <w:p w14:paraId="4A22C751">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5</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5E8D9059">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平江</w:t>
            </w:r>
          </w:p>
        </w:tc>
        <w:tc>
          <w:tcPr>
            <w:tcW w:w="1250" w:type="dxa"/>
            <w:tcBorders>
              <w:top w:val="single" w:color="000000" w:sz="4" w:space="0"/>
              <w:left w:val="single" w:color="000000" w:sz="4" w:space="0"/>
              <w:bottom w:val="single" w:color="000000" w:sz="4" w:space="0"/>
              <w:right w:val="single" w:color="000000" w:sz="4" w:space="0"/>
            </w:tcBorders>
            <w:noWrap/>
            <w:vAlign w:val="bottom"/>
          </w:tcPr>
          <w:p w14:paraId="0032C3C6">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南江镇</w:t>
            </w:r>
          </w:p>
        </w:tc>
        <w:tc>
          <w:tcPr>
            <w:tcW w:w="2132" w:type="dxa"/>
            <w:tcBorders>
              <w:top w:val="single" w:color="000000" w:sz="4" w:space="0"/>
              <w:left w:val="single" w:color="000000" w:sz="4" w:space="0"/>
              <w:bottom w:val="single" w:color="000000" w:sz="4" w:space="0"/>
              <w:right w:val="single" w:color="000000" w:sz="4" w:space="0"/>
            </w:tcBorders>
            <w:noWrap/>
            <w:vAlign w:val="bottom"/>
          </w:tcPr>
          <w:p w14:paraId="287CAB3D">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幕阜山太元天宫</w:t>
            </w:r>
          </w:p>
        </w:tc>
        <w:tc>
          <w:tcPr>
            <w:tcW w:w="1471" w:type="dxa"/>
            <w:tcBorders>
              <w:top w:val="single" w:color="000000" w:sz="4" w:space="0"/>
              <w:left w:val="single" w:color="000000" w:sz="4" w:space="0"/>
              <w:bottom w:val="single" w:color="000000" w:sz="4" w:space="0"/>
              <w:right w:val="single" w:color="000000" w:sz="4" w:space="0"/>
            </w:tcBorders>
            <w:noWrap/>
            <w:vAlign w:val="bottom"/>
          </w:tcPr>
          <w:p w14:paraId="62A9E444">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113.826143</w:t>
            </w:r>
          </w:p>
        </w:tc>
        <w:tc>
          <w:tcPr>
            <w:tcW w:w="1426" w:type="dxa"/>
            <w:tcBorders>
              <w:top w:val="single" w:color="000000" w:sz="4" w:space="0"/>
              <w:left w:val="single" w:color="000000" w:sz="4" w:space="0"/>
              <w:bottom w:val="single" w:color="000000" w:sz="4" w:space="0"/>
              <w:right w:val="single" w:color="000000" w:sz="4" w:space="0"/>
            </w:tcBorders>
            <w:noWrap/>
            <w:vAlign w:val="bottom"/>
          </w:tcPr>
          <w:p w14:paraId="0B1BDDD0">
            <w:pPr>
              <w:widowControl/>
              <w:ind w:firstLine="0" w:firstLineChars="0"/>
              <w:jc w:val="both"/>
              <w:textAlignment w:val="bottom"/>
              <w:rPr>
                <w:rFonts w:hint="eastAsia" w:ascii="仿宋" w:hAnsi="仿宋" w:eastAsia="仿宋" w:cs="仿宋"/>
                <w:color w:val="000000"/>
                <w:szCs w:val="24"/>
              </w:rPr>
            </w:pPr>
            <w:r>
              <w:rPr>
                <w:rFonts w:hint="eastAsia" w:ascii="仿宋" w:hAnsi="仿宋" w:eastAsia="仿宋" w:cs="仿宋"/>
                <w:color w:val="000000"/>
                <w:szCs w:val="24"/>
                <w:lang w:val="en-US" w:bidi="ar"/>
              </w:rPr>
              <w:t>28.988129</w:t>
            </w:r>
          </w:p>
        </w:tc>
      </w:tr>
    </w:tbl>
    <w:p w14:paraId="0DD49740">
      <w:pPr>
        <w:ind w:firstLine="480"/>
        <w:rPr>
          <w:rFonts w:hint="eastAsia"/>
          <w:lang w:val="en-US"/>
        </w:rPr>
      </w:pPr>
      <w:r>
        <w:drawing>
          <wp:anchor distT="0" distB="0" distL="114300" distR="114300" simplePos="0" relativeHeight="251677696" behindDoc="0" locked="0" layoutInCell="1" allowOverlap="1">
            <wp:simplePos x="0" y="0"/>
            <wp:positionH relativeFrom="column">
              <wp:posOffset>5715</wp:posOffset>
            </wp:positionH>
            <wp:positionV relativeFrom="paragraph">
              <wp:posOffset>155575</wp:posOffset>
            </wp:positionV>
            <wp:extent cx="5271770" cy="3067050"/>
            <wp:effectExtent l="0" t="0" r="11430" b="6350"/>
            <wp:wrapNone/>
            <wp:docPr id="3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7"/>
                    <pic:cNvPicPr>
                      <a:picLocks noChangeAspect="1"/>
                    </pic:cNvPicPr>
                  </pic:nvPicPr>
                  <pic:blipFill>
                    <a:blip r:embed="rId58"/>
                    <a:stretch>
                      <a:fillRect/>
                    </a:stretch>
                  </pic:blipFill>
                  <pic:spPr>
                    <a:xfrm>
                      <a:off x="0" y="0"/>
                      <a:ext cx="5271770" cy="3067050"/>
                    </a:xfrm>
                    <a:prstGeom prst="rect">
                      <a:avLst/>
                    </a:prstGeom>
                    <a:noFill/>
                    <a:ln>
                      <a:noFill/>
                    </a:ln>
                  </pic:spPr>
                </pic:pic>
              </a:graphicData>
            </a:graphic>
          </wp:anchor>
        </w:drawing>
      </w:r>
    </w:p>
    <w:p w14:paraId="15658CE3">
      <w:pPr>
        <w:spacing w:line="240" w:lineRule="auto"/>
        <w:ind w:firstLine="0" w:firstLineChars="0"/>
        <w:rPr>
          <w:rFonts w:hint="eastAsia"/>
          <w:lang w:val="en-US"/>
        </w:rPr>
      </w:pPr>
    </w:p>
    <w:p w14:paraId="1BDCF284">
      <w:pPr>
        <w:ind w:firstLine="480"/>
        <w:rPr>
          <w:rFonts w:hint="eastAsia"/>
          <w:lang w:val="en-US"/>
        </w:rPr>
      </w:pPr>
    </w:p>
    <w:p w14:paraId="6058BD84">
      <w:pPr>
        <w:ind w:firstLine="480"/>
        <w:rPr>
          <w:rFonts w:hint="eastAsia"/>
          <w:lang w:val="en-US"/>
        </w:rPr>
      </w:pPr>
    </w:p>
    <w:p w14:paraId="70074C3A">
      <w:pPr>
        <w:ind w:firstLine="480"/>
        <w:rPr>
          <w:rFonts w:hint="eastAsia"/>
          <w:lang w:val="en-US"/>
        </w:rPr>
      </w:pPr>
    </w:p>
    <w:p w14:paraId="45164051">
      <w:pPr>
        <w:ind w:firstLine="480"/>
        <w:rPr>
          <w:rFonts w:hint="eastAsia"/>
          <w:lang w:val="en-US"/>
        </w:rPr>
      </w:pPr>
    </w:p>
    <w:p w14:paraId="33B781DD">
      <w:pPr>
        <w:ind w:firstLine="480"/>
        <w:rPr>
          <w:rFonts w:hint="eastAsia"/>
          <w:lang w:val="en-US"/>
        </w:rPr>
      </w:pPr>
    </w:p>
    <w:p w14:paraId="646DD45F">
      <w:pPr>
        <w:ind w:firstLine="480"/>
        <w:rPr>
          <w:rFonts w:hint="eastAsia"/>
          <w:lang w:val="en-US"/>
        </w:rPr>
      </w:pPr>
    </w:p>
    <w:p w14:paraId="3118C464">
      <w:pPr>
        <w:ind w:firstLine="480"/>
        <w:rPr>
          <w:rFonts w:hint="eastAsia"/>
          <w:lang w:val="en-US"/>
        </w:rPr>
      </w:pPr>
    </w:p>
    <w:p w14:paraId="442DC52F">
      <w:pPr>
        <w:ind w:firstLine="480"/>
        <w:rPr>
          <w:rFonts w:hint="eastAsia"/>
          <w:lang w:val="en-US"/>
        </w:rPr>
      </w:pPr>
    </w:p>
    <w:p w14:paraId="63A5CBB6">
      <w:pPr>
        <w:ind w:firstLine="480"/>
        <w:rPr>
          <w:rFonts w:hint="eastAsia"/>
          <w:lang w:val="en-US"/>
        </w:rPr>
      </w:pPr>
    </w:p>
    <w:p w14:paraId="14768FF4">
      <w:pPr>
        <w:ind w:firstLine="480"/>
        <w:rPr>
          <w:rFonts w:hint="eastAsia"/>
          <w:lang w:val="en-US"/>
        </w:rPr>
      </w:pPr>
    </w:p>
    <w:p w14:paraId="742496F3">
      <w:pPr>
        <w:ind w:firstLine="480"/>
        <w:rPr>
          <w:rFonts w:hint="eastAsia"/>
          <w:lang w:val="en-US"/>
        </w:rPr>
      </w:pPr>
    </w:p>
    <w:p w14:paraId="75B7E6E2">
      <w:pPr>
        <w:pStyle w:val="4"/>
        <w:rPr>
          <w:rFonts w:hint="eastAsia"/>
          <w:lang w:val="en-US"/>
        </w:rPr>
      </w:pPr>
      <w:bookmarkStart w:id="218" w:name="_Toc24415"/>
      <w:r>
        <w:rPr>
          <w:rFonts w:hint="eastAsia"/>
          <w:lang w:val="en-US"/>
        </w:rPr>
        <w:t>视频监控前端（9套）</w:t>
      </w:r>
      <w:bookmarkEnd w:id="218"/>
    </w:p>
    <w:p w14:paraId="75B7E6E3">
      <w:pPr>
        <w:ind w:firstLine="480"/>
        <w:rPr>
          <w:rFonts w:hint="eastAsia"/>
        </w:rPr>
      </w:pPr>
      <w:r>
        <w:t>一、核心布局原则</w:t>
      </w:r>
    </w:p>
    <w:p w14:paraId="75B7E6E4">
      <w:pPr>
        <w:ind w:firstLine="480"/>
        <w:rPr>
          <w:rFonts w:hint="eastAsia"/>
        </w:rPr>
      </w:pPr>
      <w:r>
        <w:t>1. 风险导向原则</w:t>
      </w:r>
    </w:p>
    <w:p w14:paraId="75B7E6E5">
      <w:pPr>
        <w:ind w:firstLine="480"/>
        <w:rPr>
          <w:rFonts w:hint="eastAsia"/>
        </w:rPr>
      </w:pPr>
      <w:r>
        <w:t>优先布局重点林场、自然保护地：如临湘市五尖山林场、平江县幕阜山国有林场等生态敏感区域，覆盖高价值森林资源</w:t>
      </w:r>
    </w:p>
    <w:p w14:paraId="75B7E6E6">
      <w:pPr>
        <w:ind w:firstLine="480"/>
        <w:rPr>
          <w:rFonts w:hint="eastAsia"/>
        </w:rPr>
      </w:pPr>
      <w:r>
        <w:t>聚焦人为活动集中区：包括林区入口、村庄周边、旅游步道沿线，防范人为火源引发的火灾</w:t>
      </w:r>
    </w:p>
    <w:p w14:paraId="75B7E6E7">
      <w:pPr>
        <w:ind w:firstLine="480"/>
        <w:rPr>
          <w:rFonts w:hint="eastAsia"/>
        </w:rPr>
      </w:pPr>
      <w:r>
        <w:t>填补监测盲区：针对现有监控未覆盖的偏远山区，实现全域监测无死角</w:t>
      </w:r>
    </w:p>
    <w:p w14:paraId="75B7E6E8">
      <w:pPr>
        <w:ind w:firstLine="480"/>
        <w:rPr>
          <w:rFonts w:hint="eastAsia"/>
        </w:rPr>
      </w:pPr>
      <w:r>
        <w:t>2. 地形适配原则</w:t>
      </w:r>
    </w:p>
    <w:p w14:paraId="75B7E6E9">
      <w:pPr>
        <w:ind w:firstLine="480"/>
        <w:rPr>
          <w:rFonts w:hint="eastAsia"/>
        </w:rPr>
      </w:pPr>
      <w:r>
        <w:t>选择制高点安装：利用山地地形优势（如临湘市鹰咀尖候鸟保护站、平江县梧桐山），确保监控视野最大化，单台设备覆盖半径不小于5公里</w:t>
      </w:r>
    </w:p>
    <w:p w14:paraId="75B7E6EA">
      <w:pPr>
        <w:ind w:firstLine="480"/>
        <w:rPr>
          <w:rFonts w:hint="eastAsia"/>
        </w:rPr>
      </w:pPr>
      <w:r>
        <w:t>避开地形遮挡：避免在山谷、密林等遮挡严重区域选址，确保热成像信号穿透性不受影响</w:t>
      </w:r>
    </w:p>
    <w:p w14:paraId="75B7E6EB">
      <w:pPr>
        <w:ind w:firstLine="480"/>
        <w:rPr>
          <w:rFonts w:hint="eastAsia"/>
        </w:rPr>
      </w:pPr>
      <w:r>
        <w:t>适应复杂地貌：优先采用25米单管塔锥形结构，适配山区地形，减少占地面积，提升抗风性能</w:t>
      </w:r>
    </w:p>
    <w:p w14:paraId="75B7E6EC">
      <w:pPr>
        <w:ind w:firstLine="480"/>
        <w:rPr>
          <w:rFonts w:hint="eastAsia"/>
        </w:rPr>
      </w:pPr>
      <w:r>
        <w:t>3. 技术适配原则</w:t>
      </w:r>
    </w:p>
    <w:p w14:paraId="75B7E6ED">
      <w:pPr>
        <w:ind w:firstLine="480"/>
        <w:rPr>
          <w:rFonts w:hint="eastAsia"/>
        </w:rPr>
      </w:pPr>
      <w:r>
        <w:t>满足热成像监测需求：点位选址需保证视野开阔，无大面积障碍物遮挡，确保5公里范围内的火情能够被精准捕捉</w:t>
      </w:r>
    </w:p>
    <w:p w14:paraId="75B7E6EE">
      <w:pPr>
        <w:ind w:firstLine="480"/>
        <w:rPr>
          <w:rFonts w:hint="eastAsia"/>
        </w:rPr>
      </w:pPr>
      <w:r>
        <w:t>符合联网技术规范：优先选择具备稳定网络信号的点位，确保视频图像能够实时传输至监控中心</w:t>
      </w:r>
    </w:p>
    <w:p w14:paraId="75B7E6EF">
      <w:pPr>
        <w:ind w:firstLine="480"/>
        <w:rPr>
          <w:rFonts w:hint="eastAsia"/>
        </w:rPr>
      </w:pPr>
      <w:r>
        <w:t>兼容防雷设计要求：避开雷击高发区，确保接地系统符合规范要求，保障设备安全运行</w:t>
      </w:r>
    </w:p>
    <w:p w14:paraId="75B7E6F0">
      <w:pPr>
        <w:ind w:firstLine="480"/>
        <w:rPr>
          <w:rFonts w:hint="eastAsia"/>
        </w:rPr>
      </w:pPr>
      <w:r>
        <w:t>二、点位布局具体要求</w:t>
      </w:r>
    </w:p>
    <w:p w14:paraId="75B7E6F1">
      <w:pPr>
        <w:ind w:firstLine="480"/>
        <w:rPr>
          <w:rFonts w:hint="eastAsia"/>
        </w:rPr>
      </w:pPr>
      <w:r>
        <w:t>1. 选址勘测要求</w:t>
      </w:r>
    </w:p>
    <w:p w14:paraId="75B7E6F2">
      <w:pPr>
        <w:ind w:firstLine="480"/>
        <w:rPr>
          <w:rFonts w:hint="eastAsia"/>
        </w:rPr>
      </w:pPr>
      <w:r>
        <w:t>现场勘查：每点位需进行现场地形测量，确认视野范围、地形遮挡情况、网络信号强度</w:t>
      </w:r>
    </w:p>
    <w:p w14:paraId="75B7E6F3">
      <w:pPr>
        <w:ind w:firstLine="480"/>
        <w:rPr>
          <w:rFonts w:hint="eastAsia"/>
        </w:rPr>
      </w:pPr>
      <w:r>
        <w:t>坐标精度：采用CGCS2000国家大地坐标系，点位定位误差≤±0.5m，高程基准采用1985国家高程基准</w:t>
      </w:r>
    </w:p>
    <w:p w14:paraId="75B7E6F4">
      <w:pPr>
        <w:ind w:firstLine="480"/>
        <w:rPr>
          <w:rFonts w:hint="eastAsia"/>
        </w:rPr>
      </w:pPr>
      <w:r>
        <w:t>地质评估：基础施工前需进行地质勘查，确认地基承载力满足筏板基础要求，基础埋深根据地质情况确定</w:t>
      </w:r>
    </w:p>
    <w:p w14:paraId="75B7E6F5">
      <w:pPr>
        <w:ind w:firstLine="480"/>
        <w:rPr>
          <w:rFonts w:hint="eastAsia"/>
        </w:rPr>
      </w:pPr>
      <w:r>
        <w:t>2. 间距与覆盖要求</w:t>
      </w:r>
    </w:p>
    <w:p w14:paraId="75B7E6F6">
      <w:pPr>
        <w:ind w:firstLine="480"/>
        <w:rPr>
          <w:rFonts w:hint="eastAsia"/>
        </w:rPr>
      </w:pPr>
      <w:r>
        <w:t>最小间距：根据监测区域风险等级，点位间距控制在8-12公里，确保覆盖范围无重叠且无盲区</w:t>
      </w:r>
    </w:p>
    <w:p w14:paraId="75B7E6F7">
      <w:pPr>
        <w:ind w:firstLine="480"/>
        <w:rPr>
          <w:rFonts w:hint="eastAsia"/>
        </w:rPr>
      </w:pPr>
      <w:r>
        <w:t>交叉覆盖：相邻点位需形成交叉监测区域，提升火情识别准确率，避免漏报</w:t>
      </w:r>
    </w:p>
    <w:p w14:paraId="75B7E6F8">
      <w:pPr>
        <w:ind w:firstLine="480"/>
        <w:rPr>
          <w:rFonts w:hint="eastAsia"/>
        </w:rPr>
      </w:pPr>
      <w:r>
        <w:t>重点区域加密：人为活动频繁区域（如村庄周边、旅游景区）可适当加密点位，缩短间距至5-8公里</w:t>
      </w:r>
    </w:p>
    <w:p w14:paraId="75B7E6F9">
      <w:pPr>
        <w:ind w:firstLine="480"/>
        <w:rPr>
          <w:rFonts w:hint="eastAsia"/>
        </w:rPr>
      </w:pPr>
      <w:r>
        <w:t>3. 配套设施要求</w:t>
      </w:r>
    </w:p>
    <w:p w14:paraId="75B7E6FA">
      <w:pPr>
        <w:ind w:firstLine="480"/>
        <w:rPr>
          <w:rFonts w:hint="eastAsia"/>
        </w:rPr>
      </w:pPr>
      <w:r>
        <w:t>供电保障：优先采用市电供电，偏远区域可配置太阳能供电系统，确保设备24小时稳定运行</w:t>
      </w:r>
    </w:p>
    <w:p w14:paraId="75B7E6FB">
      <w:pPr>
        <w:ind w:firstLine="480"/>
        <w:rPr>
          <w:rFonts w:hint="eastAsia"/>
        </w:rPr>
      </w:pPr>
      <w:r>
        <w:t>防雷接地：严格按照防雷设计要求施工，接地电阻合格率100%，确保设备防雷安全</w:t>
      </w:r>
    </w:p>
    <w:p w14:paraId="75B7E6FC">
      <w:pPr>
        <w:ind w:firstLine="480"/>
        <w:rPr>
          <w:rFonts w:hint="eastAsia"/>
        </w:rPr>
      </w:pPr>
      <w:r>
        <w:t>布线规范：电缆采用屏蔽线缆或穿钢管埋地敷设，避开恶劣环境和干扰区域，确保信号传输稳定</w:t>
      </w:r>
    </w:p>
    <w:p w14:paraId="75B7E6FD">
      <w:pPr>
        <w:ind w:firstLine="480"/>
        <w:rPr>
          <w:rFonts w:hint="eastAsia"/>
          <w:lang w:val="en-US"/>
        </w:rPr>
      </w:pPr>
      <w:r>
        <w:rPr>
          <w:rFonts w:hint="eastAsia"/>
          <w:lang w:val="en-US"/>
        </w:rPr>
        <w:t>四、点位布局设计</w:t>
      </w:r>
    </w:p>
    <w:p w14:paraId="75B7E6FE">
      <w:pPr>
        <w:ind w:firstLine="480"/>
        <w:rPr>
          <w:rFonts w:hint="eastAsia"/>
        </w:rPr>
      </w:pPr>
      <w:r>
        <w:t>严格遵守《森林防火条例》等法律法规，确保点位布局符合森林防火管理要求</w:t>
      </w:r>
      <w:r>
        <w:rPr>
          <w:rFonts w:hint="eastAsia"/>
        </w:rPr>
        <w:t>。</w:t>
      </w:r>
    </w:p>
    <w:p w14:paraId="75B7E6FF">
      <w:pPr>
        <w:ind w:firstLine="480"/>
        <w:rPr>
          <w:rFonts w:hint="eastAsia"/>
        </w:rPr>
      </w:pPr>
      <w:r>
        <w:t>严格按照《森林防火视频监控系统技术规范》和《森林防火视频监控图像联网技术规范》建设，确保系统标准化、规范化</w:t>
      </w:r>
      <w:r>
        <w:rPr>
          <w:rFonts w:hint="eastAsia"/>
        </w:rPr>
        <w:t>。</w:t>
      </w:r>
    </w:p>
    <w:p w14:paraId="75B7E701">
      <w:pPr>
        <w:ind w:firstLine="480"/>
        <w:rPr>
          <w:rFonts w:hint="eastAsia"/>
          <w:lang w:val="en-US"/>
        </w:rPr>
      </w:pPr>
      <w:r>
        <w:t>满足地方管理需求：结合岳阳市森林防火实际情况，点位布局需符合地方森林防火应急预案和管理要求，提升应急响应效率</w:t>
      </w:r>
      <w:r>
        <w:rPr>
          <w:rFonts w:hint="eastAsia"/>
        </w:rPr>
        <w:t>。</w:t>
      </w:r>
      <w:r>
        <w:rPr>
          <w:rFonts w:hint="eastAsia"/>
          <w:lang w:val="en-US"/>
        </w:rPr>
        <w:t>具体如下：</w:t>
      </w:r>
    </w:p>
    <w:tbl>
      <w:tblPr>
        <w:tblStyle w:val="38"/>
        <w:tblW w:w="4996" w:type="pct"/>
        <w:jc w:val="center"/>
        <w:tblLayout w:type="fixed"/>
        <w:tblCellMar>
          <w:top w:w="0" w:type="dxa"/>
          <w:left w:w="108" w:type="dxa"/>
          <w:bottom w:w="0" w:type="dxa"/>
          <w:right w:w="108" w:type="dxa"/>
        </w:tblCellMar>
      </w:tblPr>
      <w:tblGrid>
        <w:gridCol w:w="571"/>
        <w:gridCol w:w="950"/>
        <w:gridCol w:w="1390"/>
        <w:gridCol w:w="1319"/>
        <w:gridCol w:w="1555"/>
        <w:gridCol w:w="1344"/>
        <w:gridCol w:w="1176"/>
      </w:tblGrid>
      <w:tr w14:paraId="75B7E709">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702">
            <w:pPr>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序号</w:t>
            </w:r>
          </w:p>
        </w:tc>
        <w:tc>
          <w:tcPr>
            <w:tcW w:w="571"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703">
            <w:pPr>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行政区域</w:t>
            </w:r>
          </w:p>
        </w:tc>
        <w:tc>
          <w:tcPr>
            <w:tcW w:w="836"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704">
            <w:pPr>
              <w:widowControl/>
              <w:snapToGrid w:val="0"/>
              <w:spacing w:line="240" w:lineRule="auto"/>
              <w:ind w:firstLine="0" w:firstLineChars="0"/>
              <w:jc w:val="center"/>
              <w:textAlignment w:val="center"/>
              <w:rPr>
                <w:rFonts w:hint="eastAsia" w:ascii="仿宋_GB2312" w:hAnsi="方正仿宋_GB2312" w:cs="方正仿宋_GB2312"/>
                <w:b/>
                <w:bCs/>
                <w:sz w:val="21"/>
                <w:szCs w:val="21"/>
                <w:lang w:bidi="ar"/>
              </w:rPr>
            </w:pPr>
            <w:r>
              <w:rPr>
                <w:rFonts w:hint="eastAsia" w:ascii="仿宋_GB2312" w:hAnsi="方正仿宋_GB2312" w:cs="方正仿宋_GB2312"/>
                <w:b/>
                <w:bCs/>
                <w:sz w:val="21"/>
                <w:szCs w:val="21"/>
                <w:lang w:bidi="ar"/>
              </w:rPr>
              <w:t>乡镇（街道）</w:t>
            </w:r>
          </w:p>
        </w:tc>
        <w:tc>
          <w:tcPr>
            <w:tcW w:w="794"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705">
            <w:pPr>
              <w:widowControl/>
              <w:snapToGrid w:val="0"/>
              <w:spacing w:line="240" w:lineRule="auto"/>
              <w:ind w:firstLine="0" w:firstLineChars="0"/>
              <w:jc w:val="center"/>
              <w:textAlignment w:val="center"/>
              <w:rPr>
                <w:rFonts w:hint="eastAsia" w:ascii="仿宋_GB2312" w:hAnsi="方正仿宋_GB2312" w:cs="方正仿宋_GB2312"/>
                <w:b/>
                <w:bCs/>
                <w:sz w:val="21"/>
                <w:szCs w:val="21"/>
                <w:lang w:bidi="ar"/>
              </w:rPr>
            </w:pPr>
            <w:r>
              <w:rPr>
                <w:rFonts w:hint="eastAsia" w:ascii="仿宋_GB2312" w:hAnsi="方正仿宋_GB2312" w:cs="方正仿宋_GB2312"/>
                <w:b/>
                <w:bCs/>
                <w:sz w:val="21"/>
                <w:szCs w:val="21"/>
                <w:lang w:bidi="ar"/>
              </w:rPr>
              <w:t>村</w:t>
            </w:r>
          </w:p>
        </w:tc>
        <w:tc>
          <w:tcPr>
            <w:tcW w:w="937"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706">
            <w:pPr>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rPr>
              <w:t>小地名</w:t>
            </w:r>
          </w:p>
        </w:tc>
        <w:tc>
          <w:tcPr>
            <w:tcW w:w="809"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707">
            <w:pPr>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经度</w:t>
            </w:r>
          </w:p>
        </w:tc>
        <w:tc>
          <w:tcPr>
            <w:tcW w:w="708" w:type="pct"/>
            <w:tcBorders>
              <w:top w:val="single" w:color="000000" w:sz="4" w:space="0"/>
              <w:left w:val="single" w:color="000000" w:sz="4" w:space="0"/>
              <w:bottom w:val="single" w:color="000000" w:sz="4" w:space="0"/>
              <w:right w:val="single" w:color="000000" w:sz="4" w:space="0"/>
            </w:tcBorders>
            <w:shd w:val="clear" w:color="CCCCFF" w:fill="auto"/>
            <w:noWrap/>
            <w:vAlign w:val="center"/>
          </w:tcPr>
          <w:p w14:paraId="75B7E708">
            <w:pPr>
              <w:widowControl/>
              <w:snapToGrid w:val="0"/>
              <w:spacing w:line="240" w:lineRule="auto"/>
              <w:ind w:firstLine="0" w:firstLineChars="0"/>
              <w:jc w:val="center"/>
              <w:textAlignment w:val="center"/>
              <w:rPr>
                <w:rFonts w:hint="eastAsia" w:ascii="仿宋_GB2312" w:hAnsi="方正仿宋_GB2312" w:cs="方正仿宋_GB2312"/>
                <w:b/>
                <w:bCs/>
                <w:sz w:val="21"/>
                <w:szCs w:val="21"/>
              </w:rPr>
            </w:pPr>
            <w:r>
              <w:rPr>
                <w:rFonts w:hint="eastAsia" w:ascii="仿宋_GB2312" w:hAnsi="方正仿宋_GB2312" w:cs="方正仿宋_GB2312"/>
                <w:b/>
                <w:bCs/>
                <w:sz w:val="21"/>
                <w:szCs w:val="21"/>
                <w:lang w:bidi="ar"/>
              </w:rPr>
              <w:t>纬度</w:t>
            </w:r>
          </w:p>
        </w:tc>
      </w:tr>
      <w:tr w14:paraId="75B7E711">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0A">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1</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0B">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云溪区</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0C">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云溪街道</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0D">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清溪村</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0E">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毛园屋</w:t>
            </w:r>
          </w:p>
        </w:tc>
        <w:tc>
          <w:tcPr>
            <w:tcW w:w="809" w:type="pct"/>
            <w:tcBorders>
              <w:top w:val="nil"/>
              <w:left w:val="single" w:color="000000" w:sz="4" w:space="0"/>
              <w:bottom w:val="single" w:color="000000" w:sz="4" w:space="0"/>
              <w:right w:val="single" w:color="000000" w:sz="4" w:space="0"/>
            </w:tcBorders>
            <w:noWrap/>
            <w:vAlign w:val="center"/>
          </w:tcPr>
          <w:p w14:paraId="75B7E70F">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113.354741</w:t>
            </w:r>
          </w:p>
        </w:tc>
        <w:tc>
          <w:tcPr>
            <w:tcW w:w="708" w:type="pct"/>
            <w:tcBorders>
              <w:top w:val="nil"/>
              <w:left w:val="single" w:color="000000" w:sz="4" w:space="0"/>
              <w:bottom w:val="single" w:color="000000" w:sz="4" w:space="0"/>
              <w:right w:val="single" w:color="000000" w:sz="4" w:space="0"/>
            </w:tcBorders>
            <w:noWrap/>
            <w:vAlign w:val="center"/>
          </w:tcPr>
          <w:p w14:paraId="75B7E710">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29.451434</w:t>
            </w:r>
          </w:p>
        </w:tc>
      </w:tr>
      <w:tr w14:paraId="75B7E719">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12">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2</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13">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临湘市</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14">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五尖山林场</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15">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五尖山林场</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16">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鹰咀尖候鸟保护站</w:t>
            </w:r>
          </w:p>
        </w:tc>
        <w:tc>
          <w:tcPr>
            <w:tcW w:w="809" w:type="pct"/>
            <w:tcBorders>
              <w:top w:val="nil"/>
              <w:left w:val="single" w:color="000000" w:sz="4" w:space="0"/>
              <w:bottom w:val="single" w:color="000000" w:sz="4" w:space="0"/>
              <w:right w:val="single" w:color="000000" w:sz="4" w:space="0"/>
            </w:tcBorders>
            <w:noWrap/>
            <w:vAlign w:val="center"/>
          </w:tcPr>
          <w:p w14:paraId="75B7E717">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113.376078</w:t>
            </w:r>
          </w:p>
        </w:tc>
        <w:tc>
          <w:tcPr>
            <w:tcW w:w="708" w:type="pct"/>
            <w:tcBorders>
              <w:top w:val="nil"/>
              <w:left w:val="single" w:color="000000" w:sz="4" w:space="0"/>
              <w:bottom w:val="single" w:color="000000" w:sz="4" w:space="0"/>
              <w:right w:val="single" w:color="000000" w:sz="4" w:space="0"/>
            </w:tcBorders>
            <w:noWrap/>
            <w:vAlign w:val="center"/>
          </w:tcPr>
          <w:p w14:paraId="75B7E718">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29.475727</w:t>
            </w:r>
          </w:p>
        </w:tc>
      </w:tr>
      <w:tr w14:paraId="75B7E721">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1A">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3</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1B">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岳阳县</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1C">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鹿角林场</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1D">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滨湖村</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1E">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九马咀</w:t>
            </w:r>
          </w:p>
        </w:tc>
        <w:tc>
          <w:tcPr>
            <w:tcW w:w="809" w:type="pct"/>
            <w:tcBorders>
              <w:top w:val="nil"/>
              <w:left w:val="single" w:color="000000" w:sz="4" w:space="0"/>
              <w:bottom w:val="single" w:color="000000" w:sz="4" w:space="0"/>
              <w:right w:val="single" w:color="000000" w:sz="4" w:space="0"/>
            </w:tcBorders>
            <w:noWrap/>
            <w:vAlign w:val="center"/>
          </w:tcPr>
          <w:p w14:paraId="75B7E71F">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113.015948</w:t>
            </w:r>
          </w:p>
        </w:tc>
        <w:tc>
          <w:tcPr>
            <w:tcW w:w="708" w:type="pct"/>
            <w:tcBorders>
              <w:top w:val="nil"/>
              <w:left w:val="single" w:color="000000" w:sz="4" w:space="0"/>
              <w:bottom w:val="single" w:color="000000" w:sz="4" w:space="0"/>
              <w:right w:val="single" w:color="000000" w:sz="4" w:space="0"/>
            </w:tcBorders>
            <w:noWrap/>
            <w:vAlign w:val="center"/>
          </w:tcPr>
          <w:p w14:paraId="75B7E720">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29.194637</w:t>
            </w:r>
          </w:p>
        </w:tc>
      </w:tr>
      <w:tr w14:paraId="75B7E729">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22">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4</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23">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汨罗市</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24">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八景村</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25">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八景村三江镇</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26">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八景村部</w:t>
            </w:r>
          </w:p>
        </w:tc>
        <w:tc>
          <w:tcPr>
            <w:tcW w:w="809" w:type="pct"/>
            <w:tcBorders>
              <w:top w:val="nil"/>
              <w:left w:val="single" w:color="000000" w:sz="4" w:space="0"/>
              <w:bottom w:val="single" w:color="000000" w:sz="4" w:space="0"/>
              <w:right w:val="single" w:color="000000" w:sz="4" w:space="0"/>
            </w:tcBorders>
            <w:noWrap/>
            <w:vAlign w:val="center"/>
          </w:tcPr>
          <w:p w14:paraId="75B7E727">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113.088427</w:t>
            </w:r>
          </w:p>
        </w:tc>
        <w:tc>
          <w:tcPr>
            <w:tcW w:w="708" w:type="pct"/>
            <w:tcBorders>
              <w:top w:val="nil"/>
              <w:left w:val="single" w:color="000000" w:sz="4" w:space="0"/>
              <w:bottom w:val="single" w:color="000000" w:sz="4" w:space="0"/>
              <w:right w:val="single" w:color="000000" w:sz="4" w:space="0"/>
            </w:tcBorders>
            <w:noWrap/>
            <w:vAlign w:val="center"/>
          </w:tcPr>
          <w:p w14:paraId="75B7E728">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28.960259</w:t>
            </w:r>
          </w:p>
        </w:tc>
      </w:tr>
      <w:tr w14:paraId="75B7E731">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2A">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5</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2B">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汨罗市</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2C">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桃林林场</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2D">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桃林林场</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2E">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井山坡</w:t>
            </w:r>
          </w:p>
        </w:tc>
        <w:tc>
          <w:tcPr>
            <w:tcW w:w="809" w:type="pct"/>
            <w:tcBorders>
              <w:top w:val="nil"/>
              <w:left w:val="single" w:color="000000" w:sz="4" w:space="0"/>
              <w:bottom w:val="single" w:color="000000" w:sz="4" w:space="0"/>
              <w:right w:val="single" w:color="000000" w:sz="4" w:space="0"/>
            </w:tcBorders>
            <w:noWrap/>
            <w:vAlign w:val="center"/>
          </w:tcPr>
          <w:p w14:paraId="75B7E72F">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113.090443</w:t>
            </w:r>
          </w:p>
        </w:tc>
        <w:tc>
          <w:tcPr>
            <w:tcW w:w="708" w:type="pct"/>
            <w:tcBorders>
              <w:top w:val="nil"/>
              <w:left w:val="single" w:color="000000" w:sz="4" w:space="0"/>
              <w:bottom w:val="single" w:color="000000" w:sz="4" w:space="0"/>
              <w:right w:val="single" w:color="000000" w:sz="4" w:space="0"/>
            </w:tcBorders>
            <w:noWrap/>
            <w:vAlign w:val="center"/>
          </w:tcPr>
          <w:p w14:paraId="75B7E730">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28.956989</w:t>
            </w:r>
          </w:p>
        </w:tc>
      </w:tr>
      <w:tr w14:paraId="75B7E739">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32">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6</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33">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34">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天幕阜国有林场</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35">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幕阜山国有林场</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36">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寿字石</w:t>
            </w:r>
          </w:p>
        </w:tc>
        <w:tc>
          <w:tcPr>
            <w:tcW w:w="809" w:type="pct"/>
            <w:tcBorders>
              <w:top w:val="nil"/>
              <w:left w:val="single" w:color="000000" w:sz="4" w:space="0"/>
              <w:bottom w:val="single" w:color="000000" w:sz="4" w:space="0"/>
              <w:right w:val="single" w:color="000000" w:sz="4" w:space="0"/>
            </w:tcBorders>
            <w:noWrap/>
            <w:vAlign w:val="center"/>
          </w:tcPr>
          <w:p w14:paraId="75B7E737">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113.831679</w:t>
            </w:r>
          </w:p>
        </w:tc>
        <w:tc>
          <w:tcPr>
            <w:tcW w:w="708" w:type="pct"/>
            <w:tcBorders>
              <w:top w:val="nil"/>
              <w:left w:val="single" w:color="000000" w:sz="4" w:space="0"/>
              <w:bottom w:val="single" w:color="000000" w:sz="4" w:space="0"/>
              <w:right w:val="single" w:color="000000" w:sz="4" w:space="0"/>
            </w:tcBorders>
            <w:noWrap/>
            <w:vAlign w:val="center"/>
          </w:tcPr>
          <w:p w14:paraId="75B7E738">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28.98532</w:t>
            </w:r>
          </w:p>
        </w:tc>
      </w:tr>
      <w:tr w14:paraId="75B7E741">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3A">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7</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3B">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3C">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梅仙镇</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3D">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团山村</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3E">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梧桐山</w:t>
            </w:r>
          </w:p>
        </w:tc>
        <w:tc>
          <w:tcPr>
            <w:tcW w:w="809" w:type="pct"/>
            <w:tcBorders>
              <w:top w:val="nil"/>
              <w:left w:val="single" w:color="000000" w:sz="4" w:space="0"/>
              <w:bottom w:val="single" w:color="000000" w:sz="4" w:space="0"/>
              <w:right w:val="single" w:color="000000" w:sz="4" w:space="0"/>
            </w:tcBorders>
            <w:noWrap/>
            <w:vAlign w:val="center"/>
          </w:tcPr>
          <w:p w14:paraId="75B7E73F">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113.605581</w:t>
            </w:r>
          </w:p>
        </w:tc>
        <w:tc>
          <w:tcPr>
            <w:tcW w:w="708" w:type="pct"/>
            <w:tcBorders>
              <w:top w:val="nil"/>
              <w:left w:val="single" w:color="000000" w:sz="4" w:space="0"/>
              <w:bottom w:val="single" w:color="000000" w:sz="4" w:space="0"/>
              <w:right w:val="single" w:color="000000" w:sz="4" w:space="0"/>
            </w:tcBorders>
            <w:noWrap/>
            <w:vAlign w:val="center"/>
          </w:tcPr>
          <w:p w14:paraId="75B7E740">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28.783947</w:t>
            </w:r>
          </w:p>
        </w:tc>
      </w:tr>
      <w:tr w14:paraId="75B7E749">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42">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8</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43">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44">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加义镇</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45">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芦头林场</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46">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卢头林场</w:t>
            </w:r>
          </w:p>
        </w:tc>
        <w:tc>
          <w:tcPr>
            <w:tcW w:w="809" w:type="pct"/>
            <w:tcBorders>
              <w:top w:val="nil"/>
              <w:left w:val="single" w:color="000000" w:sz="4" w:space="0"/>
              <w:bottom w:val="single" w:color="000000" w:sz="4" w:space="0"/>
              <w:right w:val="single" w:color="000000" w:sz="4" w:space="0"/>
            </w:tcBorders>
            <w:noWrap/>
            <w:vAlign w:val="center"/>
          </w:tcPr>
          <w:p w14:paraId="75B7E747">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113.950577</w:t>
            </w:r>
          </w:p>
        </w:tc>
        <w:tc>
          <w:tcPr>
            <w:tcW w:w="708" w:type="pct"/>
            <w:tcBorders>
              <w:top w:val="nil"/>
              <w:left w:val="single" w:color="000000" w:sz="4" w:space="0"/>
              <w:bottom w:val="single" w:color="000000" w:sz="4" w:space="0"/>
              <w:right w:val="single" w:color="000000" w:sz="4" w:space="0"/>
            </w:tcBorders>
            <w:noWrap/>
            <w:vAlign w:val="center"/>
          </w:tcPr>
          <w:p w14:paraId="75B7E748">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28.605152</w:t>
            </w:r>
          </w:p>
        </w:tc>
      </w:tr>
      <w:tr w14:paraId="75B7E751">
        <w:tblPrEx>
          <w:tblCellMar>
            <w:top w:w="0" w:type="dxa"/>
            <w:left w:w="108" w:type="dxa"/>
            <w:bottom w:w="0" w:type="dxa"/>
            <w:right w:w="108" w:type="dxa"/>
          </w:tblCellMar>
        </w:tblPrEx>
        <w:trPr>
          <w:jc w:val="center"/>
        </w:trPr>
        <w:tc>
          <w:tcPr>
            <w:tcW w:w="343" w:type="pct"/>
            <w:tcBorders>
              <w:top w:val="single" w:color="000000" w:sz="4" w:space="0"/>
              <w:left w:val="single" w:color="000000" w:sz="4" w:space="0"/>
              <w:bottom w:val="single" w:color="000000" w:sz="4" w:space="0"/>
              <w:right w:val="single" w:color="000000" w:sz="4" w:space="0"/>
            </w:tcBorders>
            <w:noWrap/>
            <w:vAlign w:val="center"/>
          </w:tcPr>
          <w:p w14:paraId="75B7E74A">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9</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75B7E74B">
            <w:pPr>
              <w:widowControl/>
              <w:snapToGrid w:val="0"/>
              <w:spacing w:line="240" w:lineRule="auto"/>
              <w:ind w:firstLine="0" w:firstLineChars="0"/>
              <w:jc w:val="center"/>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平江县</w:t>
            </w:r>
          </w:p>
        </w:tc>
        <w:tc>
          <w:tcPr>
            <w:tcW w:w="836" w:type="pct"/>
            <w:tcBorders>
              <w:top w:val="single" w:color="000000" w:sz="4" w:space="0"/>
              <w:left w:val="single" w:color="000000" w:sz="4" w:space="0"/>
              <w:bottom w:val="single" w:color="000000" w:sz="4" w:space="0"/>
              <w:right w:val="single" w:color="000000" w:sz="4" w:space="0"/>
            </w:tcBorders>
            <w:noWrap/>
            <w:vAlign w:val="center"/>
          </w:tcPr>
          <w:p w14:paraId="75B7E74C">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加义镇</w:t>
            </w:r>
          </w:p>
        </w:tc>
        <w:tc>
          <w:tcPr>
            <w:tcW w:w="794" w:type="pct"/>
            <w:tcBorders>
              <w:top w:val="single" w:color="000000" w:sz="4" w:space="0"/>
              <w:left w:val="single" w:color="000000" w:sz="4" w:space="0"/>
              <w:bottom w:val="single" w:color="000000" w:sz="4" w:space="0"/>
              <w:right w:val="single" w:color="000000" w:sz="4" w:space="0"/>
            </w:tcBorders>
            <w:noWrap/>
            <w:vAlign w:val="center"/>
          </w:tcPr>
          <w:p w14:paraId="75B7E74D">
            <w:pPr>
              <w:widowControl/>
              <w:snapToGrid w:val="0"/>
              <w:spacing w:line="240" w:lineRule="auto"/>
              <w:ind w:firstLine="0" w:firstLineChars="0"/>
              <w:textAlignment w:val="center"/>
              <w:rPr>
                <w:rFonts w:hint="eastAsia" w:ascii="仿宋_GB2312" w:hAnsi="方正仿宋_GB2312" w:cs="方正仿宋_GB2312"/>
                <w:sz w:val="21"/>
                <w:szCs w:val="21"/>
                <w:lang w:bidi="ar"/>
              </w:rPr>
            </w:pPr>
            <w:r>
              <w:rPr>
                <w:rFonts w:hint="eastAsia" w:ascii="仿宋_GB2312" w:hAnsi="方正仿宋_GB2312" w:cs="方正仿宋_GB2312"/>
                <w:sz w:val="21"/>
                <w:szCs w:val="21"/>
                <w:lang w:bidi="ar"/>
              </w:rPr>
              <w:t>芦头林场</w:t>
            </w:r>
          </w:p>
        </w:tc>
        <w:tc>
          <w:tcPr>
            <w:tcW w:w="937" w:type="pct"/>
            <w:tcBorders>
              <w:top w:val="single" w:color="000000" w:sz="4" w:space="0"/>
              <w:left w:val="single" w:color="000000" w:sz="4" w:space="0"/>
              <w:bottom w:val="single" w:color="000000" w:sz="4" w:space="0"/>
              <w:right w:val="single" w:color="000000" w:sz="4" w:space="0"/>
            </w:tcBorders>
            <w:noWrap/>
            <w:vAlign w:val="center"/>
          </w:tcPr>
          <w:p w14:paraId="75B7E74E">
            <w:pPr>
              <w:widowControl/>
              <w:snapToGrid w:val="0"/>
              <w:spacing w:line="240" w:lineRule="auto"/>
              <w:ind w:firstLine="0" w:firstLineChars="0"/>
              <w:textAlignment w:val="center"/>
              <w:rPr>
                <w:rFonts w:hint="eastAsia" w:ascii="仿宋_GB2312" w:hAnsi="方正仿宋_GB2312" w:cs="方正仿宋_GB2312"/>
                <w:sz w:val="21"/>
                <w:szCs w:val="21"/>
              </w:rPr>
            </w:pPr>
            <w:r>
              <w:rPr>
                <w:rFonts w:hint="eastAsia" w:ascii="仿宋_GB2312" w:hAnsi="方正仿宋_GB2312" w:cs="方正仿宋_GB2312"/>
                <w:sz w:val="21"/>
                <w:szCs w:val="21"/>
                <w:lang w:bidi="ar"/>
              </w:rPr>
              <w:t>十八折</w:t>
            </w:r>
          </w:p>
        </w:tc>
        <w:tc>
          <w:tcPr>
            <w:tcW w:w="809" w:type="pct"/>
            <w:tcBorders>
              <w:top w:val="nil"/>
              <w:left w:val="single" w:color="000000" w:sz="4" w:space="0"/>
              <w:bottom w:val="single" w:color="000000" w:sz="4" w:space="0"/>
              <w:right w:val="single" w:color="000000" w:sz="4" w:space="0"/>
            </w:tcBorders>
            <w:noWrap/>
            <w:vAlign w:val="center"/>
          </w:tcPr>
          <w:p w14:paraId="75B7E74F">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113.905379</w:t>
            </w:r>
          </w:p>
        </w:tc>
        <w:tc>
          <w:tcPr>
            <w:tcW w:w="708" w:type="pct"/>
            <w:tcBorders>
              <w:top w:val="nil"/>
              <w:left w:val="single" w:color="000000" w:sz="4" w:space="0"/>
              <w:bottom w:val="single" w:color="000000" w:sz="4" w:space="0"/>
              <w:right w:val="single" w:color="000000" w:sz="4" w:space="0"/>
            </w:tcBorders>
            <w:noWrap/>
            <w:vAlign w:val="center"/>
          </w:tcPr>
          <w:p w14:paraId="75B7E750">
            <w:pPr>
              <w:widowControl/>
              <w:snapToGrid w:val="0"/>
              <w:spacing w:line="240" w:lineRule="auto"/>
              <w:ind w:firstLine="0" w:firstLineChars="0"/>
              <w:jc w:val="center"/>
              <w:textAlignment w:val="center"/>
              <w:rPr>
                <w:rFonts w:hint="eastAsia" w:ascii="仿宋_GB2312" w:cs="Times New Roman"/>
                <w:sz w:val="21"/>
                <w:szCs w:val="21"/>
              </w:rPr>
            </w:pPr>
            <w:r>
              <w:rPr>
                <w:rFonts w:hint="eastAsia" w:ascii="仿宋_GB2312" w:cs="Times New Roman"/>
                <w:sz w:val="21"/>
                <w:szCs w:val="21"/>
                <w:lang w:bidi="ar"/>
              </w:rPr>
              <w:t>28.544119</w:t>
            </w:r>
          </w:p>
        </w:tc>
      </w:tr>
    </w:tbl>
    <w:p w14:paraId="75B7E752">
      <w:pPr>
        <w:spacing w:line="240" w:lineRule="auto"/>
        <w:ind w:firstLine="0" w:firstLineChars="0"/>
        <w:rPr>
          <w:rFonts w:hint="eastAsia"/>
          <w:lang w:val="en-US"/>
        </w:rPr>
      </w:pPr>
    </w:p>
    <w:p w14:paraId="75B7E753">
      <w:pPr>
        <w:spacing w:line="240" w:lineRule="auto"/>
        <w:ind w:firstLine="0" w:firstLineChars="0"/>
        <w:rPr>
          <w:rFonts w:hint="eastAsia"/>
          <w:lang w:val="en-US"/>
        </w:rPr>
      </w:pPr>
      <w:r>
        <w:rPr>
          <w:lang w:val="en-US"/>
        </w:rPr>
        <w:drawing>
          <wp:inline distT="0" distB="0" distL="114300" distR="114300">
            <wp:extent cx="5268595" cy="3079750"/>
            <wp:effectExtent l="0" t="0" r="1905" b="6350"/>
            <wp:docPr id="28" name="图片 28" descr="d1492181761074b9faa78b417fbef8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d1492181761074b9faa78b417fbef86f"/>
                    <pic:cNvPicPr>
                      <a:picLocks noChangeAspect="1"/>
                    </pic:cNvPicPr>
                  </pic:nvPicPr>
                  <pic:blipFill>
                    <a:blip r:embed="rId59"/>
                    <a:stretch>
                      <a:fillRect/>
                    </a:stretch>
                  </pic:blipFill>
                  <pic:spPr>
                    <a:xfrm>
                      <a:off x="0" y="0"/>
                      <a:ext cx="5268595" cy="3079750"/>
                    </a:xfrm>
                    <a:prstGeom prst="rect">
                      <a:avLst/>
                    </a:prstGeom>
                  </pic:spPr>
                </pic:pic>
              </a:graphicData>
            </a:graphic>
          </wp:inline>
        </w:drawing>
      </w:r>
    </w:p>
    <w:p w14:paraId="75B7E7AB">
      <w:pPr>
        <w:pStyle w:val="3"/>
        <w:rPr>
          <w:lang w:val="en-US"/>
        </w:rPr>
      </w:pPr>
      <w:bookmarkStart w:id="219" w:name="_Toc25543"/>
      <w:r>
        <w:rPr>
          <w:rFonts w:hint="eastAsia"/>
          <w:lang w:val="en-US"/>
        </w:rPr>
        <w:t>施工</w:t>
      </w:r>
      <w:r>
        <w:rPr>
          <w:rFonts w:hint="eastAsia"/>
          <w:lang w:val="en-US" w:eastAsia="zh-CN"/>
        </w:rPr>
        <w:t>方案</w:t>
      </w:r>
      <w:bookmarkEnd w:id="219"/>
    </w:p>
    <w:p w14:paraId="545D88CC">
      <w:pPr>
        <w:pStyle w:val="4"/>
        <w:rPr>
          <w:rFonts w:hint="eastAsia"/>
          <w:lang w:val="en-US"/>
        </w:rPr>
      </w:pPr>
      <w:bookmarkStart w:id="220" w:name="_Toc10760"/>
      <w:r>
        <w:rPr>
          <w:rFonts w:hint="eastAsia"/>
          <w:lang w:val="en-US"/>
        </w:rPr>
        <w:t>无人机机场</w:t>
      </w:r>
      <w:bookmarkEnd w:id="220"/>
    </w:p>
    <w:p w14:paraId="1B7C784D">
      <w:pPr>
        <w:pStyle w:val="5"/>
        <w:rPr>
          <w:rFonts w:hint="eastAsia"/>
          <w:lang w:val="en-US"/>
        </w:rPr>
      </w:pPr>
      <w:r>
        <w:rPr>
          <w:rFonts w:hint="eastAsia"/>
          <w:lang w:val="en-US"/>
        </w:rPr>
        <w:t>施工准备</w:t>
      </w:r>
    </w:p>
    <w:p w14:paraId="39F8E65B">
      <w:pPr>
        <w:rPr>
          <w:rFonts w:hint="eastAsia"/>
          <w:lang w:val="en-US"/>
        </w:rPr>
      </w:pPr>
      <w:r>
        <w:rPr>
          <w:rFonts w:hint="eastAsia"/>
          <w:lang w:val="en-US"/>
        </w:rPr>
        <w:t>（一）施工前注意事项</w:t>
      </w:r>
    </w:p>
    <w:p w14:paraId="33483E9A">
      <w:pPr>
        <w:rPr>
          <w:rFonts w:hint="eastAsia"/>
          <w:lang w:val="en-US"/>
        </w:rPr>
      </w:pPr>
      <w:r>
        <w:rPr>
          <w:rFonts w:hint="eastAsia"/>
          <w:lang w:val="en-US"/>
        </w:rPr>
        <w:t>所有安装、调试、维护及维修工作需由持对应特种作业操作证的专业技术人员完成：低压电工负责强电操作，高空作业人员负责高处作业，焊接人员负责焊接操作，所有人员均需经严格安全培训。作业必须按安装手册步骤进行，全程佩戴安全帽、护目镜、绝缘手套、绝缘鞋等防护用具，电动工具需做绝缘处理，钻孔时佩戴防尘口罩。作业前需妥善接地，遵循</w:t>
      </w:r>
      <w:r>
        <w:rPr>
          <w:rFonts w:hint="eastAsia"/>
          <w:lang w:val="en-US" w:eastAsia="zh-CN"/>
        </w:rPr>
        <w:t>“</w:t>
      </w:r>
      <w:r>
        <w:rPr>
          <w:rFonts w:hint="eastAsia"/>
          <w:lang w:val="en-US"/>
        </w:rPr>
        <w:t>先装地线后装线缆、先拆线缆后拆地线</w:t>
      </w:r>
      <w:r>
        <w:rPr>
          <w:rFonts w:hint="eastAsia"/>
          <w:lang w:val="en-US" w:eastAsia="zh-CN"/>
        </w:rPr>
        <w:t>”</w:t>
      </w:r>
      <w:r>
        <w:rPr>
          <w:rFonts w:hint="eastAsia"/>
          <w:lang w:val="en-US"/>
        </w:rPr>
        <w:t>原则，严禁未接地操作。恶劣天气（雷雨、降雪、风速≥8m/s）及机场运行时禁止作业；接触导体前需用万用表验电，严禁带电操作，严禁佩戴金属饰品。发生火灾立即撤离并报警，搬运重物做好防护，吊装时注意安全。</w:t>
      </w:r>
    </w:p>
    <w:p w14:paraId="48EE442B">
      <w:pPr>
        <w:rPr>
          <w:rFonts w:hint="eastAsia"/>
          <w:lang w:val="en-US"/>
        </w:rPr>
      </w:pPr>
      <w:r>
        <w:rPr>
          <w:rFonts w:hint="eastAsia"/>
          <w:lang w:val="en-US"/>
        </w:rPr>
        <w:t>（二）环境要求</w:t>
      </w:r>
    </w:p>
    <w:p w14:paraId="054A7D66">
      <w:pPr>
        <w:rPr>
          <w:rFonts w:hint="eastAsia"/>
          <w:lang w:val="en-US"/>
        </w:rPr>
      </w:pPr>
      <w:r>
        <w:rPr>
          <w:rFonts w:hint="eastAsia"/>
          <w:lang w:val="en-US"/>
        </w:rPr>
        <w:t>安装地点海拔不高于4000米，环境温度范围-25℃至45℃（机场本体），飞行器工作温度范围-20℃至45℃。温度超出该范围会导致设备无法工作，待温度回到工作范围内可恢复正常作业。选择风沙小的地点安装机场，飞行器起降时阵风不大于8m/s且气流平稳，以保证机场和飞行器正常作业。安装场地无明显生物破坏因素，如鼠害、白蚁等。未经许可不得安装在危险源附近，如加油站、油库、危化品仓库等。请勿将机场安装在有易燃物场地，如易堆积杂物场地、杨柳絮、竹林、藤蔓等。请勿将机场安装在移动的物体表面（例如行进中的汽车、船只）。避免安装在雷击区，避免安装在易发生灾害的场地，如地面沉降、泥石流、山体滑坡、积雪掩埋等。避免安装在化工厂、化粪池下风处，防止污染物腐蚀机场；若在海岸线附近部署，避免安装在海水可能浸没或海浪飞溅的区域，防止海水腐蚀机场及金属部件。尽量避免安装在频闪灯、不受控人造光源照射位置（如地面有大量反光物品、地面照明灯），否则会干扰飞行器视觉系统，影响其降落和飞行稳定性。尽量远离强电磁波干扰场地，如雷达站、微波站、手机通信基站、无人机干扰设备等，务必保持200米以上距离。尽量远离铁矿、大型钢结构建筑，避免对飞行器指南针造成干扰。尽量远离强振动源、强噪音区域，否则会对机场的环境传感器造成干扰，同时容易导致整机运行寿命下降。需考虑安装位置未来的环境变化因素，避开未来存在大型建设规划或环境变化较大的区域（包括但不限于杂草树木生长如竹林、藤蔓等、新增建筑物、桥梁、通讯基站、高压铁塔等），如有变化需重新进行勘察。需考虑作业区域是否处于限飞区域附近或处于限飞区，可以提前申请机场限飞解禁证书，安装配置时将解禁证书同步至飞行器。由于机场运行和飞行器作业时将产生一定的噪声，机场选址时需考虑对周围居民的影响。</w:t>
      </w:r>
    </w:p>
    <w:p w14:paraId="2CDF8AFF">
      <w:pPr>
        <w:rPr>
          <w:rFonts w:hint="eastAsia"/>
          <w:lang w:val="en-US"/>
        </w:rPr>
      </w:pPr>
      <w:r>
        <w:rPr>
          <w:rFonts w:hint="eastAsia"/>
          <w:lang w:val="en-US"/>
        </w:rPr>
        <w:t>（三）安装位置要求</w:t>
      </w:r>
    </w:p>
    <w:p w14:paraId="3A03F9C3">
      <w:pPr>
        <w:rPr>
          <w:rFonts w:hint="eastAsia"/>
          <w:lang w:val="en-US"/>
        </w:rPr>
      </w:pPr>
      <w:r>
        <w:rPr>
          <w:rFonts w:hint="eastAsia"/>
          <w:lang w:val="en-US"/>
        </w:rPr>
        <w:t>安装在无明显信号遮挡的场地，如空旷地面或楼顶等。为保障机场内置RTK模块的信号质量和设备运行稳定性，需保证地面高度角20°范围内无明显信号遮挡物。</w:t>
      </w:r>
    </w:p>
    <w:p w14:paraId="4A1BDC37">
      <w:pPr>
        <w:rPr>
          <w:rFonts w:hint="eastAsia"/>
          <w:lang w:val="en-US"/>
        </w:rPr>
      </w:pPr>
      <w:r>
        <w:rPr>
          <w:rFonts w:hint="eastAsia"/>
          <w:lang w:val="en-US"/>
        </w:rPr>
        <w:t>（四）勘察测试</w:t>
      </w:r>
    </w:p>
    <w:p w14:paraId="2EDC1775">
      <w:pPr>
        <w:rPr>
          <w:rFonts w:hint="eastAsia"/>
          <w:lang w:val="en-US"/>
        </w:rPr>
      </w:pPr>
      <w:r>
        <w:rPr>
          <w:rFonts w:hint="eastAsia"/>
          <w:lang w:val="en-US"/>
        </w:rPr>
        <w:t>1.卫星定位信号测试：开启飞行器和遥控器电源并对频，运行相关应用程序选择"机场勘察选址"，新建选址任务，确保RTK模块正常工作、更新星历和校准飞行器航向，操作飞行器至待选址位置并等待自动完成卫星定位信号检查。</w:t>
      </w:r>
    </w:p>
    <w:p w14:paraId="774B52E1">
      <w:pPr>
        <w:rPr>
          <w:rFonts w:hint="eastAsia"/>
          <w:lang w:val="en-US"/>
        </w:rPr>
      </w:pPr>
      <w:r>
        <w:rPr>
          <w:rFonts w:hint="eastAsia"/>
          <w:lang w:val="en-US"/>
        </w:rPr>
        <w:t>2.航线飞行测试：规划实际作业航线任务，从待选地点起飞，记录飞行过程中图传信号质量以及续航情况。测试时操作员需位于拟安装机场位置操控遥控器，并确保遥控器距离地面高度与未来机场安装高度一致，飞行距离根据未来机场目标作业区域确定。</w:t>
      </w:r>
    </w:p>
    <w:p w14:paraId="0D44A63A">
      <w:pPr>
        <w:rPr>
          <w:rFonts w:hint="eastAsia"/>
          <w:lang w:val="en-US"/>
        </w:rPr>
      </w:pPr>
      <w:r>
        <w:rPr>
          <w:rFonts w:hint="eastAsia"/>
          <w:lang w:val="en-US"/>
        </w:rPr>
        <w:t>3.地面勘察：记录机场安装位置、固定方法、安装朝向、所需材料清单等，建议在安装地点用油漆或粉笔标记出机场安装详细位置以及备降点位置。</w:t>
      </w:r>
    </w:p>
    <w:p w14:paraId="5B627AF5">
      <w:pPr>
        <w:pStyle w:val="5"/>
        <w:rPr>
          <w:rFonts w:hint="eastAsia"/>
          <w:lang w:val="en-US"/>
        </w:rPr>
      </w:pPr>
      <w:r>
        <w:rPr>
          <w:rFonts w:hint="eastAsia"/>
          <w:lang w:val="en-US"/>
        </w:rPr>
        <w:t>施工</w:t>
      </w:r>
      <w:r>
        <w:rPr>
          <w:rFonts w:hint="eastAsia"/>
          <w:lang w:val="en-US" w:eastAsia="zh-CN"/>
        </w:rPr>
        <w:t>方案</w:t>
      </w:r>
    </w:p>
    <w:p w14:paraId="0D6E49B6">
      <w:pPr>
        <w:rPr>
          <w:rFonts w:hint="eastAsia"/>
          <w:lang w:val="en-US"/>
        </w:rPr>
      </w:pPr>
      <w:r>
        <w:rPr>
          <w:rFonts w:hint="eastAsia"/>
          <w:lang w:val="en-US" w:eastAsia="zh-CN"/>
        </w:rPr>
        <w:t>（一）</w:t>
      </w:r>
      <w:r>
        <w:rPr>
          <w:rFonts w:hint="eastAsia"/>
          <w:lang w:val="en-US"/>
        </w:rPr>
        <w:t>钢架底座固定</w:t>
      </w:r>
    </w:p>
    <w:p w14:paraId="0620B7F0">
      <w:pPr>
        <w:rPr>
          <w:rFonts w:hint="eastAsia"/>
          <w:lang w:val="en-US"/>
        </w:rPr>
      </w:pPr>
      <w:r>
        <w:rPr>
          <w:rFonts w:hint="eastAsia"/>
          <w:lang w:val="en-US"/>
        </w:rPr>
        <w:t>适用于已有混凝土硬化水平地面（如楼顶）但存在水淹、信号遮挡、沉降问题需架高机场场景，不适用于非硬化松软地面。将加工好的钢架通过膨胀螺栓或沙袋等重物固定于硬化地面，再用M8螺丝将机场固定于钢架上。钢架推荐使用40mm镀锌方通或304不锈钢方通加工并喷漆防腐蚀，底座高度不低于200mm（高于安装位置历史最高水位100mm以上）。安装于楼顶时需提前确认楼板是否可打孔，不具备条件则用重物固定钢架。</w:t>
      </w:r>
    </w:p>
    <w:p w14:paraId="1042FCAC">
      <w:pPr>
        <w:rPr>
          <w:rFonts w:hint="eastAsia"/>
          <w:lang w:val="en-US"/>
        </w:rPr>
      </w:pPr>
      <w:r>
        <w:rPr>
          <w:rFonts w:hint="eastAsia"/>
          <w:lang w:val="en-US" w:eastAsia="zh-CN"/>
        </w:rPr>
        <w:t>（二）</w:t>
      </w:r>
      <w:r>
        <w:rPr>
          <w:rFonts w:hint="eastAsia"/>
          <w:lang w:val="en-US"/>
        </w:rPr>
        <w:t>供电与网络</w:t>
      </w:r>
    </w:p>
    <w:p w14:paraId="7874068C">
      <w:pPr>
        <w:rPr>
          <w:rFonts w:hint="eastAsia"/>
          <w:lang w:val="en-US"/>
        </w:rPr>
      </w:pPr>
      <w:r>
        <w:rPr>
          <w:rFonts w:hint="eastAsia"/>
          <w:lang w:val="en-US" w:eastAsia="zh-CN"/>
        </w:rPr>
        <w:t>1.</w:t>
      </w:r>
      <w:r>
        <w:rPr>
          <w:rFonts w:hint="eastAsia"/>
          <w:lang w:val="en-US"/>
        </w:rPr>
        <w:t>供电要求</w:t>
      </w:r>
    </w:p>
    <w:p w14:paraId="7FAA6264">
      <w:pPr>
        <w:rPr>
          <w:rFonts w:hint="eastAsia"/>
          <w:lang w:val="en-US"/>
        </w:rPr>
      </w:pPr>
      <w:r>
        <w:rPr>
          <w:rFonts w:hint="eastAsia"/>
          <w:lang w:val="en-US"/>
        </w:rPr>
        <w:t>电气连接符合当地法规，供电稳定无频繁停电，市电电压100-240V、频率50/60Hz，输入功率满足800W Max。用户配电箱内需安装独立2P16A漏电断路器及40kA浪涌保护装置，电缆末端压接针型端子。电缆长度大于50米时建议在机场附近额外安装带插座户外防水配电箱。线缆长度与截面积：&lt;100m用1.5mm²(15AWG)三芯户外护套铜芯电缆；100-200m用4mm²(11AWG)；&gt;200m用6mm²(9AWG)。保护线管敷设使用PVC管埋地，无法埋地则用镀锌钢管紧固至地面并接地，线管内径至少为线缆外径（含保护层）1.5倍，线管内线缆无接头，接头防水处理，末端用密封胶泥封堵，电源线与网线分线管铺设且距离≥30mm，避免靠近水管、暖气管、煤气管。防水配电箱下端离地500mm以上并妥善固定，安装在靠近机场配电柜连线一侧，距机场1m以上，引入线和引出线穿管埋地，连接处防水密闭处理，配电柜内插座地线和机场地线与外壳连接并接入大地。</w:t>
      </w:r>
    </w:p>
    <w:p w14:paraId="5FF4D98C">
      <w:pPr>
        <w:rPr>
          <w:rFonts w:hint="eastAsia"/>
          <w:lang w:val="en-US"/>
        </w:rPr>
      </w:pPr>
      <w:r>
        <w:rPr>
          <w:rFonts w:hint="eastAsia"/>
          <w:lang w:val="en-US" w:eastAsia="zh-CN"/>
        </w:rPr>
        <w:t>2.</w:t>
      </w:r>
      <w:r>
        <w:rPr>
          <w:rFonts w:hint="eastAsia"/>
          <w:lang w:val="en-US"/>
        </w:rPr>
        <w:t>网络链接</w:t>
      </w:r>
    </w:p>
    <w:p w14:paraId="1FAF0392">
      <w:pPr>
        <w:rPr>
          <w:rFonts w:hint="eastAsia"/>
          <w:lang w:val="en-US"/>
        </w:rPr>
      </w:pPr>
      <w:r>
        <w:rPr>
          <w:rFonts w:hint="eastAsia"/>
          <w:lang w:val="en-US"/>
        </w:rPr>
        <w:t>有线网络推荐使用六类双绞线，室外线缆PVC管埋地，无法埋地则用镀锌钢管紧固至地面并接地，电源线与网线分线管铺设。布线距离小于80米时用户机房端引出线安装信号浪涌保护器，保护用户端网络设备，安装时将浪涌保护器"IN"端连机场，"OUT"端连交换机、路由器等设备。布线距离大于80米时采用光纤方案并加装光纤收发器，推荐使用千兆网络，上行和下行带宽均大于等于20Mbps。无线网络无法使用有线网络时可安装增强图传模块实现4G网络接入，安装前确认运营商4G网络覆盖良好，测试最低上传速率20Mbps，提前选择合适流量套餐，4G路由器+流量卡方案网络波动较大，尽量使用有线网络。</w:t>
      </w:r>
    </w:p>
    <w:p w14:paraId="417BEBA8">
      <w:pPr>
        <w:rPr>
          <w:rFonts w:hint="eastAsia"/>
          <w:lang w:val="en-US"/>
        </w:rPr>
      </w:pPr>
      <w:r>
        <w:rPr>
          <w:rFonts w:hint="eastAsia"/>
          <w:lang w:val="en-US"/>
        </w:rPr>
        <w:t>（</w:t>
      </w:r>
      <w:r>
        <w:rPr>
          <w:rFonts w:hint="eastAsia"/>
          <w:lang w:val="en-US" w:eastAsia="zh-CN"/>
        </w:rPr>
        <w:t>三</w:t>
      </w:r>
      <w:r>
        <w:rPr>
          <w:rFonts w:hint="eastAsia"/>
          <w:lang w:val="en-US"/>
        </w:rPr>
        <w:t>）防雷接地</w:t>
      </w:r>
    </w:p>
    <w:p w14:paraId="64332FFE">
      <w:pPr>
        <w:rPr>
          <w:rFonts w:hint="eastAsia"/>
          <w:lang w:val="en-US"/>
        </w:rPr>
      </w:pPr>
      <w:r>
        <w:rPr>
          <w:rFonts w:hint="eastAsia"/>
          <w:lang w:val="en-US"/>
        </w:rPr>
        <w:t>接地电阻需小于10Ω，接地装置与机场距离大于1m时用40mm×4mm扁钢引至机场附近1m内。垂直接地体采用长度1.5-2.5m热镀锌钢材、铜材、铜包钢等，多个垂直接地体间距不小于5m，接地网四角埋设垂直接地体，角钢一端加工成尖头，埋深不小于0.7m，寒冷地区埋设在冻土层以下。降低接地电阻可延长接地电极埋深（长度翻倍电阻额外降低40%）、使用多个接地电极（间距至少等于插入深度），土壤电阻率高时可采用外延伸辐射形接地体、液状长效降阻剂等，每年定期检查接地系统，电阻升高超过20%需排查原因并处理。</w:t>
      </w:r>
    </w:p>
    <w:p w14:paraId="5DFDBD2D">
      <w:pPr>
        <w:pStyle w:val="5"/>
        <w:rPr>
          <w:rFonts w:hint="eastAsia"/>
          <w:lang w:val="en-US"/>
        </w:rPr>
      </w:pPr>
      <w:r>
        <w:rPr>
          <w:rFonts w:hint="eastAsia"/>
          <w:lang w:val="en-US"/>
        </w:rPr>
        <w:t>设备安装</w:t>
      </w:r>
    </w:p>
    <w:p w14:paraId="4F1F1548">
      <w:pPr>
        <w:rPr>
          <w:rFonts w:hint="eastAsia"/>
          <w:lang w:val="en-US"/>
        </w:rPr>
      </w:pPr>
      <w:r>
        <w:rPr>
          <w:rFonts w:hint="eastAsia"/>
          <w:lang w:val="en-US"/>
        </w:rPr>
        <w:t>（一）安装准备</w:t>
      </w:r>
    </w:p>
    <w:p w14:paraId="02336C7C">
      <w:pPr>
        <w:rPr>
          <w:rFonts w:hint="eastAsia"/>
          <w:lang w:val="en-US"/>
        </w:rPr>
      </w:pPr>
      <w:r>
        <w:rPr>
          <w:rFonts w:hint="eastAsia"/>
          <w:lang w:val="en-US"/>
        </w:rPr>
        <w:t>拆箱时剪断扎带，避免尖锐工具划伤设备外壳，垂直取出保护泡沫拿出机场，用2.5mm内六角螺丝刀拧松配电柜门螺丝拉开柜门。短按再长按对频按键开启蓄电池，通电后蜂鸣器鸣叫、舱盖指示灯闪烁，按住开启按键打开舱盖。开启舱盖后切勿按压或放置重物，蓄电池电量不足需先接通市电充电，开关舱盖保持距离，必要时拍急停按钮停止机构运行。开箱后检查设备及附件型号是否齐全，缺少或不符做好记录并联系供应商。</w:t>
      </w:r>
    </w:p>
    <w:p w14:paraId="629CBE59">
      <w:pPr>
        <w:rPr>
          <w:rFonts w:hint="eastAsia"/>
          <w:lang w:val="en-US"/>
        </w:rPr>
      </w:pPr>
      <w:r>
        <w:rPr>
          <w:rFonts w:hint="eastAsia"/>
          <w:lang w:val="en-US"/>
        </w:rPr>
        <w:t>（</w:t>
      </w:r>
      <w:r>
        <w:rPr>
          <w:rFonts w:hint="eastAsia"/>
          <w:lang w:val="en-US" w:eastAsia="zh-CN"/>
        </w:rPr>
        <w:t>二</w:t>
      </w:r>
      <w:r>
        <w:rPr>
          <w:rFonts w:hint="eastAsia"/>
          <w:lang w:val="en-US"/>
        </w:rPr>
        <w:t>）配件安装</w:t>
      </w:r>
    </w:p>
    <w:p w14:paraId="1C2D3F7F">
      <w:pPr>
        <w:rPr>
          <w:rFonts w:hint="eastAsia"/>
          <w:lang w:val="en-US"/>
        </w:rPr>
      </w:pPr>
      <w:r>
        <w:rPr>
          <w:rFonts w:hint="eastAsia"/>
          <w:lang w:val="en-US"/>
        </w:rPr>
        <w:t>1.风速计安装：打开机场舱盖顶部风速计底座盖子，取出风速计模块移除保护膜，将机场Type-C连接线插头对准模块接口轻推到底，拧紧两侧螺丝，插入底座拧紧四颗螺丝。</w:t>
      </w:r>
    </w:p>
    <w:p w14:paraId="780E4852">
      <w:pPr>
        <w:rPr>
          <w:rFonts w:hint="eastAsia"/>
          <w:lang w:val="en-US"/>
        </w:rPr>
      </w:pPr>
      <w:r>
        <w:rPr>
          <w:rFonts w:hint="eastAsia"/>
          <w:lang w:val="en-US"/>
        </w:rPr>
        <w:t>2.RTK模块安装：将外置RTK模块对准机场下仓卡槽拧紧三颗螺丝。</w:t>
      </w:r>
    </w:p>
    <w:p w14:paraId="37D9CF46">
      <w:pPr>
        <w:rPr>
          <w:rFonts w:hint="eastAsia"/>
          <w:lang w:val="en-US"/>
        </w:rPr>
      </w:pPr>
      <w:r>
        <w:rPr>
          <w:rFonts w:hint="eastAsia"/>
          <w:lang w:val="en-US"/>
        </w:rPr>
        <w:t>3.增强图传模块安装（选配）：用2.5mm内六角螺丝刀拧下网卡仓盖子螺丝，连接天线连接线至模块，安装至USB-C插头，整理天线连接线不被盖子压到，检查指示灯显示绿灯，盖好盖子拧紧螺丝。</w:t>
      </w:r>
    </w:p>
    <w:p w14:paraId="402B5546">
      <w:pPr>
        <w:rPr>
          <w:rFonts w:hint="eastAsia"/>
          <w:lang w:val="en-US"/>
        </w:rPr>
      </w:pPr>
      <w:r>
        <w:rPr>
          <w:rFonts w:hint="eastAsia"/>
          <w:lang w:val="en-US"/>
        </w:rPr>
        <w:t>（</w:t>
      </w:r>
      <w:r>
        <w:rPr>
          <w:rFonts w:hint="eastAsia"/>
          <w:lang w:val="en-US" w:eastAsia="zh-CN"/>
        </w:rPr>
        <w:t>三</w:t>
      </w:r>
      <w:r>
        <w:rPr>
          <w:rFonts w:hint="eastAsia"/>
          <w:lang w:val="en-US"/>
        </w:rPr>
        <w:t>）接线与检查</w:t>
      </w:r>
    </w:p>
    <w:p w14:paraId="2DEA1A93">
      <w:pPr>
        <w:rPr>
          <w:rFonts w:hint="eastAsia"/>
          <w:lang w:val="en-US"/>
        </w:rPr>
      </w:pPr>
      <w:r>
        <w:rPr>
          <w:rFonts w:hint="eastAsia"/>
          <w:lang w:val="en-US" w:eastAsia="zh-CN"/>
        </w:rPr>
        <w:t>1.</w:t>
      </w:r>
      <w:r>
        <w:rPr>
          <w:rFonts w:hint="eastAsia"/>
          <w:lang w:val="en-US"/>
        </w:rPr>
        <w:t>接线操作</w:t>
      </w:r>
    </w:p>
    <w:p w14:paraId="3A56D6C9">
      <w:pPr>
        <w:rPr>
          <w:rFonts w:hint="eastAsia"/>
          <w:lang w:val="en-US"/>
        </w:rPr>
      </w:pPr>
      <w:r>
        <w:rPr>
          <w:rFonts w:hint="eastAsia"/>
          <w:lang w:val="en-US"/>
        </w:rPr>
        <w:t>连接电源线需持低压电工证，操作前关闭上级电源开关并悬挂禁止合闸标识，用万用表验电。确保电源线外径7-12mm，使用1.5mm²三芯电源线，切割波纹管堵头套入电源线和波纹管。连接网线时切割波纹管堵头套入网线和波纹管。连接接地线时从机场底部牵出，无盘绕或与信号线缠绕，用M8螺丝和螺母将环形端子固定至接地体引出极，车载部署更换自备接地线连接至接地针，作业前确保接地针可靠接地。</w:t>
      </w:r>
    </w:p>
    <w:p w14:paraId="30572CAD">
      <w:pPr>
        <w:rPr>
          <w:rFonts w:hint="eastAsia"/>
          <w:lang w:val="en-US"/>
        </w:rPr>
      </w:pPr>
      <w:r>
        <w:rPr>
          <w:rFonts w:hint="eastAsia"/>
          <w:lang w:val="en-US" w:eastAsia="zh-CN"/>
        </w:rPr>
        <w:t>2.</w:t>
      </w:r>
      <w:r>
        <w:rPr>
          <w:rFonts w:hint="eastAsia"/>
          <w:lang w:val="en-US"/>
        </w:rPr>
        <w:t>通电前检查</w:t>
      </w:r>
    </w:p>
    <w:p w14:paraId="484D1457">
      <w:pPr>
        <w:rPr>
          <w:rFonts w:hint="eastAsia"/>
          <w:lang w:val="en-US"/>
        </w:rPr>
      </w:pPr>
      <w:r>
        <w:rPr>
          <w:rFonts w:hint="eastAsia"/>
          <w:lang w:val="en-US"/>
        </w:rPr>
        <w:t>确认接地线两端连接牢固，网线插头各部件拧紧且与机场连接无松动，供电系统线序正确、电源线绝缘层被尾部螺帽覆盖、插头各部件拧紧且与机场连接牢固，机场安装稳固无晃动、倾斜度小于3°、舱内干净无异物、急停按钮释放状态、停机坪无金属物品，车载部署防脱锁扣扣紧，周围环境清除包装材料、舱盖展开方向无杂物阻挡。</w:t>
      </w:r>
    </w:p>
    <w:p w14:paraId="4C9379FD">
      <w:pPr>
        <w:rPr>
          <w:rFonts w:hint="eastAsia"/>
          <w:lang w:val="en-US"/>
        </w:rPr>
      </w:pPr>
      <w:r>
        <w:rPr>
          <w:rFonts w:hint="eastAsia"/>
          <w:lang w:val="en-US" w:eastAsia="zh-CN"/>
        </w:rPr>
        <w:t>3.</w:t>
      </w:r>
      <w:r>
        <w:rPr>
          <w:rFonts w:hint="eastAsia"/>
          <w:lang w:val="en-US"/>
        </w:rPr>
        <w:t>上电后检查</w:t>
      </w:r>
    </w:p>
    <w:p w14:paraId="1B132D0B">
      <w:pPr>
        <w:rPr>
          <w:lang w:val="en-US"/>
        </w:rPr>
      </w:pPr>
      <w:r>
        <w:rPr>
          <w:rFonts w:hint="eastAsia"/>
          <w:lang w:val="en-US"/>
        </w:rPr>
        <w:t>闭合机场上级电源开关，向上拨交流电源开关，半分钟内配电柜面板状态指示灯应显示正常，否则进行故障排查。</w:t>
      </w:r>
    </w:p>
    <w:p w14:paraId="479F61BE">
      <w:pPr>
        <w:pStyle w:val="5"/>
        <w:rPr>
          <w:lang w:val="en-US"/>
        </w:rPr>
      </w:pPr>
      <w:r>
        <w:rPr>
          <w:rFonts w:hint="eastAsia"/>
          <w:lang w:val="en-US"/>
        </w:rPr>
        <w:t>施工图</w:t>
      </w:r>
      <w:r>
        <w:rPr>
          <w:rFonts w:hint="eastAsia"/>
          <w:lang w:val="en-US" w:eastAsia="zh-CN"/>
        </w:rPr>
        <w:t>纸</w:t>
      </w:r>
    </w:p>
    <w:p w14:paraId="014BB787">
      <w:pPr>
        <w:rPr>
          <w:lang w:val="en-US"/>
        </w:rPr>
      </w:pPr>
    </w:p>
    <w:p w14:paraId="22D2C1B0">
      <w:pPr>
        <w:spacing w:line="240" w:lineRule="auto"/>
        <w:ind w:firstLine="0" w:firstLineChars="0"/>
        <w:rPr>
          <w:rFonts w:hint="eastAsia"/>
          <w:lang w:val="en-US"/>
        </w:rPr>
      </w:pPr>
      <w:r>
        <w:rPr>
          <w:rFonts w:hint="eastAsia" w:eastAsia="仿宋_GB2312"/>
          <w:lang w:val="en-US" w:eastAsia="zh-CN"/>
        </w:rPr>
        <w:drawing>
          <wp:inline distT="0" distB="0" distL="114300" distR="114300">
            <wp:extent cx="5218430" cy="3688715"/>
            <wp:effectExtent l="0" t="0" r="1270" b="6985"/>
            <wp:docPr id="72" name="图片 72" descr="机房楼面新建无人机巢架空平台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机房楼面新建无人机巢架空平台_04"/>
                    <pic:cNvPicPr>
                      <a:picLocks noChangeAspect="1"/>
                    </pic:cNvPicPr>
                  </pic:nvPicPr>
                  <pic:blipFill>
                    <a:blip r:embed="rId60"/>
                    <a:stretch>
                      <a:fillRect/>
                    </a:stretch>
                  </pic:blipFill>
                  <pic:spPr>
                    <a:xfrm>
                      <a:off x="0" y="0"/>
                      <a:ext cx="5218430" cy="3688715"/>
                    </a:xfrm>
                    <a:prstGeom prst="rect">
                      <a:avLst/>
                    </a:prstGeom>
                  </pic:spPr>
                </pic:pic>
              </a:graphicData>
            </a:graphic>
          </wp:inline>
        </w:drawing>
      </w:r>
    </w:p>
    <w:p w14:paraId="7E37D889">
      <w:pPr>
        <w:spacing w:line="240" w:lineRule="auto"/>
        <w:ind w:firstLine="0" w:firstLineChars="0"/>
        <w:rPr>
          <w:rFonts w:hint="eastAsia"/>
          <w:lang w:val="en-US"/>
        </w:rPr>
      </w:pPr>
      <w:r>
        <w:rPr>
          <w:rFonts w:hint="eastAsia" w:eastAsia="仿宋_GB2312"/>
          <w:lang w:val="en-US" w:eastAsia="zh-CN"/>
        </w:rPr>
        <w:drawing>
          <wp:inline distT="0" distB="0" distL="114300" distR="114300">
            <wp:extent cx="5218430" cy="3688715"/>
            <wp:effectExtent l="0" t="0" r="1270" b="6985"/>
            <wp:docPr id="73" name="图片 73" descr="机房楼面新建无人机巢架空平台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descr="机房楼面新建无人机巢架空平台_05"/>
                    <pic:cNvPicPr>
                      <a:picLocks noChangeAspect="1"/>
                    </pic:cNvPicPr>
                  </pic:nvPicPr>
                  <pic:blipFill>
                    <a:blip r:embed="rId61"/>
                    <a:stretch>
                      <a:fillRect/>
                    </a:stretch>
                  </pic:blipFill>
                  <pic:spPr>
                    <a:xfrm>
                      <a:off x="0" y="0"/>
                      <a:ext cx="5218430" cy="3688715"/>
                    </a:xfrm>
                    <a:prstGeom prst="rect">
                      <a:avLst/>
                    </a:prstGeom>
                  </pic:spPr>
                </pic:pic>
              </a:graphicData>
            </a:graphic>
          </wp:inline>
        </w:drawing>
      </w:r>
    </w:p>
    <w:p w14:paraId="3FB100AC">
      <w:pPr>
        <w:pStyle w:val="4"/>
        <w:rPr>
          <w:rFonts w:hint="eastAsia"/>
          <w:lang w:val="en-US"/>
        </w:rPr>
      </w:pPr>
      <w:bookmarkStart w:id="221" w:name="_Toc22283"/>
      <w:r>
        <w:rPr>
          <w:rFonts w:hint="eastAsia"/>
          <w:lang w:val="en-US"/>
        </w:rPr>
        <w:t>森林防火</w:t>
      </w:r>
      <w:r>
        <w:rPr>
          <w:rFonts w:hint="eastAsia"/>
          <w:lang w:val="en-US" w:eastAsia="zh-CN"/>
        </w:rPr>
        <w:t>视频监控</w:t>
      </w:r>
      <w:r>
        <w:rPr>
          <w:rFonts w:hint="eastAsia"/>
          <w:lang w:val="en-US"/>
        </w:rPr>
        <w:t>前端</w:t>
      </w:r>
      <w:bookmarkEnd w:id="221"/>
    </w:p>
    <w:p w14:paraId="36BF8026">
      <w:pPr>
        <w:ind w:firstLine="480"/>
        <w:rPr>
          <w:rFonts w:hint="eastAsia" w:ascii="仿宋_GB2312" w:cs="仿宋_GB2312"/>
          <w:bCs/>
        </w:rPr>
      </w:pPr>
      <w:r>
        <w:rPr>
          <w:rFonts w:ascii="仿宋_GB2312" w:hAnsi="Calibri" w:cs="仿宋_GB2312"/>
          <w:bCs/>
          <w:lang w:bidi="ar"/>
        </w:rPr>
        <w:t>前端监控点位</w:t>
      </w:r>
      <w:r>
        <w:rPr>
          <w:rFonts w:hint="eastAsia"/>
          <w:lang w:val="en-US"/>
        </w:rPr>
        <w:t>立杆</w:t>
      </w:r>
      <w:r>
        <w:rPr>
          <w:rFonts w:ascii="仿宋_GB2312" w:hAnsi="Calibri" w:cs="仿宋_GB2312"/>
          <w:bCs/>
          <w:lang w:bidi="ar"/>
        </w:rPr>
        <w:t>施工是建设中的重要环节，其施工质量直接影响到整个监控系统的稳定性和安全性。该施工过程涉及多个专业领域，包括基础施工、立杆安装、设备箱安装、外市电引入、布线、废土外运、路面混凝土硬化等。本方案旨在确保立杆的稳定性、安全性以及满足视频监控系统的功能需求，为整个监控系统的稳定运行提供有力保障。</w:t>
      </w:r>
    </w:p>
    <w:p w14:paraId="00ED7962">
      <w:pPr>
        <w:pStyle w:val="5"/>
        <w:rPr>
          <w:lang w:val="en-US"/>
        </w:rPr>
      </w:pPr>
      <w:r>
        <w:rPr>
          <w:lang w:val="en-US"/>
        </w:rPr>
        <w:t>施工准备</w:t>
      </w:r>
    </w:p>
    <w:p w14:paraId="2B82DD0E">
      <w:pPr>
        <w:ind w:firstLine="480"/>
        <w:rPr>
          <w:rFonts w:hint="eastAsia" w:ascii="仿宋_GB2312" w:cs="仿宋_GB2312"/>
          <w:bCs/>
        </w:rPr>
      </w:pPr>
      <w:r>
        <w:rPr>
          <w:rFonts w:ascii="仿宋_GB2312" w:hAnsi="Calibri" w:cs="仿宋_GB2312"/>
          <w:bCs/>
          <w:lang w:bidi="ar"/>
        </w:rPr>
        <w:t>（1）现场勘查：在正式施工前，对安装位置进行详尽的现场勘查，包括但不限于记录地形特征、土壤状况以及现有基础设施情况。根据实际需求，确定监控立杆的具体高度、规格和数量。</w:t>
      </w:r>
    </w:p>
    <w:p w14:paraId="03558649">
      <w:pPr>
        <w:ind w:firstLine="480"/>
        <w:rPr>
          <w:rFonts w:hint="eastAsia" w:ascii="仿宋_GB2312" w:cs="仿宋_GB2312"/>
          <w:bCs/>
        </w:rPr>
      </w:pPr>
      <w:r>
        <w:rPr>
          <w:rFonts w:ascii="仿宋_GB2312" w:hAnsi="Calibri" w:cs="仿宋_GB2312"/>
          <w:bCs/>
          <w:lang w:bidi="ar"/>
        </w:rPr>
        <w:t>（2）施工图纸：根据现场勘查的数据和分析结果，由专业设计师绘制详尽的施工图纸，明确监控立杆的基础尺寸、安装位置、固定方式等细节。</w:t>
      </w:r>
    </w:p>
    <w:p w14:paraId="0C385C41">
      <w:pPr>
        <w:ind w:firstLine="480"/>
        <w:rPr>
          <w:rFonts w:ascii="仿宋_GB2312" w:hAnsi="Calibri" w:cs="仿宋_GB2312"/>
          <w:bCs/>
          <w:lang w:bidi="ar"/>
        </w:rPr>
      </w:pPr>
      <w:r>
        <w:rPr>
          <w:rFonts w:ascii="仿宋_GB2312" w:hAnsi="Calibri" w:cs="仿宋_GB2312"/>
          <w:bCs/>
          <w:lang w:bidi="ar"/>
        </w:rPr>
        <w:t>（3）材料准备：根据施工图纸的要求，采购符合设计标准和规范的材料，包括但不限于监控立杆、基础材料（如混凝土、钢筋等）、设备箱、布线材料等。在材料进场前，严格进行质量检查，确保所有材料均满足相关标准和规范要求。</w:t>
      </w:r>
    </w:p>
    <w:p w14:paraId="3927582D">
      <w:pPr>
        <w:pStyle w:val="5"/>
        <w:rPr>
          <w:lang w:val="en-US"/>
        </w:rPr>
      </w:pPr>
      <w:r>
        <w:rPr>
          <w:lang w:val="en-US"/>
        </w:rPr>
        <w:t>基础施工</w:t>
      </w:r>
    </w:p>
    <w:p w14:paraId="66231FB3">
      <w:pPr>
        <w:ind w:firstLine="480"/>
        <w:rPr>
          <w:rFonts w:hint="eastAsia" w:ascii="仿宋_GB2312" w:cs="仿宋_GB2312"/>
          <w:bCs/>
        </w:rPr>
      </w:pPr>
      <w:r>
        <w:rPr>
          <w:rFonts w:ascii="仿宋_GB2312" w:hAnsi="Calibri" w:cs="仿宋_GB2312"/>
          <w:bCs/>
          <w:lang w:bidi="ar"/>
        </w:rPr>
        <w:t>（1）基础开挖：</w:t>
      </w:r>
    </w:p>
    <w:p w14:paraId="4D29A7D2">
      <w:pPr>
        <w:ind w:firstLine="480"/>
        <w:rPr>
          <w:rFonts w:hint="eastAsia" w:ascii="仿宋_GB2312" w:cs="仿宋_GB2312"/>
          <w:bCs/>
        </w:rPr>
      </w:pPr>
      <w:r>
        <w:rPr>
          <w:rFonts w:ascii="仿宋_GB2312" w:hAnsi="Calibri" w:cs="仿宋_GB2312"/>
          <w:bCs/>
          <w:lang w:bidi="ar"/>
        </w:rPr>
        <w:t>根据提供的施工图纸，精确地按照设计要求进行基础开挖工作。这包括确保基础的深度、宽度和长度等尺寸严格符合设计要求，同时考虑土壤条件、地下水位等因素，确保基础的稳定性和承载力。</w:t>
      </w:r>
    </w:p>
    <w:p w14:paraId="734C7E4F">
      <w:pPr>
        <w:ind w:firstLine="480"/>
        <w:rPr>
          <w:rFonts w:hint="eastAsia" w:ascii="仿宋_GB2312" w:cs="仿宋_GB2312"/>
          <w:bCs/>
        </w:rPr>
      </w:pPr>
      <w:r>
        <w:rPr>
          <w:rFonts w:ascii="仿宋_GB2312" w:hAnsi="Calibri" w:cs="仿宋_GB2312"/>
          <w:bCs/>
          <w:lang w:bidi="ar"/>
        </w:rPr>
        <w:t>在开挖过程中，要采取有效措施保护周边环境和设施。例如，对周边建筑物进行监测，防止因开挖导致的沉降或裂缝；合理安排施工顺序和工艺，避免对地下管线、电缆等基础设施造成损坏。</w:t>
      </w:r>
    </w:p>
    <w:p w14:paraId="500B2C2F">
      <w:pPr>
        <w:ind w:firstLine="480"/>
        <w:rPr>
          <w:rFonts w:hint="eastAsia" w:ascii="仿宋_GB2312" w:cs="仿宋_GB2312"/>
          <w:bCs/>
        </w:rPr>
      </w:pPr>
      <w:r>
        <w:rPr>
          <w:rFonts w:ascii="仿宋_GB2312" w:hAnsi="Calibri" w:cs="仿宋_GB2312"/>
          <w:bCs/>
          <w:lang w:bidi="ar"/>
        </w:rPr>
        <w:t>（2）基础浇筑：</w:t>
      </w:r>
    </w:p>
    <w:p w14:paraId="5BFEB6F4">
      <w:pPr>
        <w:ind w:firstLine="480"/>
        <w:rPr>
          <w:rFonts w:hint="eastAsia" w:ascii="仿宋_GB2312" w:cs="仿宋_GB2312"/>
          <w:bCs/>
        </w:rPr>
      </w:pPr>
      <w:r>
        <w:rPr>
          <w:rFonts w:ascii="仿宋_GB2312" w:hAnsi="Calibri" w:cs="仿宋_GB2312"/>
          <w:bCs/>
          <w:lang w:bidi="ar"/>
        </w:rPr>
        <w:t>当基础开挖至设计深度后，开始进行混凝土浇筑工作。根据设计要求，选用符合标准的混凝土材料，确保混凝土强度不低于C20。</w:t>
      </w:r>
    </w:p>
    <w:p w14:paraId="66FE2C69">
      <w:pPr>
        <w:ind w:firstLine="480"/>
        <w:rPr>
          <w:rFonts w:hint="eastAsia" w:ascii="仿宋_GB2312" w:cs="仿宋_GB2312"/>
          <w:bCs/>
        </w:rPr>
      </w:pPr>
      <w:r>
        <w:rPr>
          <w:rFonts w:ascii="仿宋_GB2312" w:hAnsi="Calibri" w:cs="仿宋_GB2312"/>
          <w:bCs/>
          <w:lang w:bidi="ar"/>
        </w:rPr>
        <w:t>在浇筑过程中，要精确控制浇筑速度和方式，确保混凝土均匀填充基础模板，并紧密贴合地笼钢筋结构。同时，注意观察地笼是否发生偏移或变形，如有异常应立即停止浇筑并采取相应措施进行纠正。</w:t>
      </w:r>
    </w:p>
    <w:p w14:paraId="64BFBF81">
      <w:pPr>
        <w:ind w:firstLine="480"/>
        <w:rPr>
          <w:rFonts w:hint="eastAsia" w:ascii="仿宋_GB2312" w:cs="仿宋_GB2312"/>
          <w:bCs/>
        </w:rPr>
      </w:pPr>
      <w:r>
        <w:rPr>
          <w:rFonts w:ascii="仿宋_GB2312" w:hAnsi="Calibri" w:cs="仿宋_GB2312"/>
          <w:bCs/>
          <w:lang w:bidi="ar"/>
        </w:rPr>
        <w:t>浇筑完成后，使用水准仪或全站仪等测量工具立即检测地笼的垂直度。若发现地笼有偏离设计位置的情况，应立即进行调整，确保基础的稳定性和安全性。</w:t>
      </w:r>
    </w:p>
    <w:p w14:paraId="201C60E1">
      <w:pPr>
        <w:ind w:firstLine="480"/>
        <w:rPr>
          <w:rFonts w:hint="eastAsia" w:ascii="仿宋_GB2312" w:cs="仿宋_GB2312"/>
          <w:bCs/>
        </w:rPr>
      </w:pPr>
      <w:r>
        <w:rPr>
          <w:rFonts w:ascii="仿宋_GB2312" w:hAnsi="Calibri" w:cs="仿宋_GB2312"/>
          <w:bCs/>
          <w:lang w:bidi="ar"/>
        </w:rPr>
        <w:t>（3）基础养护：</w:t>
      </w:r>
    </w:p>
    <w:p w14:paraId="1BEB2223">
      <w:pPr>
        <w:ind w:firstLine="480"/>
        <w:rPr>
          <w:rFonts w:hint="eastAsia" w:ascii="仿宋_GB2312" w:cs="仿宋_GB2312"/>
          <w:bCs/>
        </w:rPr>
      </w:pPr>
      <w:r>
        <w:rPr>
          <w:rFonts w:ascii="仿宋_GB2312" w:hAnsi="Calibri" w:cs="仿宋_GB2312"/>
          <w:bCs/>
          <w:lang w:bidi="ar"/>
        </w:rPr>
        <w:t>浇筑完成后，按照施工规范进行浇水养护。养护期间应保持混凝土表面湿润，以促进水泥水化反应的顺利进行，确保混凝土达到设计强度。</w:t>
      </w:r>
    </w:p>
    <w:p w14:paraId="48C0E38F">
      <w:pPr>
        <w:ind w:firstLine="0" w:firstLineChars="0"/>
        <w:rPr>
          <w:rFonts w:ascii="仿宋_GB2312" w:hAnsi="Calibri" w:cs="仿宋_GB2312"/>
          <w:bCs/>
          <w:lang w:bidi="ar"/>
        </w:rPr>
      </w:pPr>
      <w:r>
        <w:rPr>
          <w:rFonts w:ascii="仿宋_GB2312" w:hAnsi="Calibri" w:cs="仿宋_GB2312"/>
          <w:bCs/>
          <w:lang w:bidi="ar"/>
        </w:rPr>
        <w:t>在养护期间内，应禁止任何重物压在地面上，以免造成基础沉降或变形。同时，要避免基础受到外界冲击和振动等影响，确保其稳定可靠。</w:t>
      </w:r>
    </w:p>
    <w:p w14:paraId="4FA71A95">
      <w:pPr>
        <w:pStyle w:val="5"/>
        <w:rPr>
          <w:lang w:val="en-US"/>
        </w:rPr>
      </w:pPr>
      <w:r>
        <w:rPr>
          <w:lang w:val="en-US"/>
        </w:rPr>
        <w:t>立杆安装</w:t>
      </w:r>
    </w:p>
    <w:p w14:paraId="3E95E72C">
      <w:pPr>
        <w:ind w:firstLine="480"/>
        <w:rPr>
          <w:rFonts w:hint="eastAsia" w:ascii="仿宋_GB2312" w:cs="仿宋_GB2312"/>
          <w:bCs/>
        </w:rPr>
      </w:pPr>
      <w:r>
        <w:rPr>
          <w:rFonts w:ascii="仿宋_GB2312" w:hAnsi="Calibri" w:cs="仿宋_GB2312"/>
          <w:bCs/>
          <w:lang w:bidi="ar"/>
        </w:rPr>
        <w:t>（1）立杆组装：</w:t>
      </w:r>
    </w:p>
    <w:p w14:paraId="06713AEB">
      <w:pPr>
        <w:ind w:firstLine="480"/>
        <w:rPr>
          <w:rFonts w:hint="eastAsia" w:ascii="仿宋_GB2312" w:cs="仿宋_GB2312"/>
          <w:bCs/>
        </w:rPr>
      </w:pPr>
      <w:r>
        <w:rPr>
          <w:rFonts w:ascii="仿宋_GB2312" w:hAnsi="Calibri" w:cs="仿宋_GB2312"/>
          <w:bCs/>
          <w:lang w:bidi="ar"/>
        </w:rPr>
        <w:t>根据施工图纸的要求，对立杆的各部件进行精确组装。这包括连接套、套管、连接螺栓等部件，确保所有部件连接牢固，符合设计要求。</w:t>
      </w:r>
    </w:p>
    <w:p w14:paraId="07044F92">
      <w:pPr>
        <w:ind w:firstLine="480"/>
        <w:rPr>
          <w:rFonts w:hint="eastAsia" w:ascii="仿宋_GB2312" w:cs="仿宋_GB2312"/>
          <w:bCs/>
        </w:rPr>
      </w:pPr>
      <w:r>
        <w:rPr>
          <w:rFonts w:ascii="仿宋_GB2312" w:hAnsi="Calibri" w:cs="仿宋_GB2312"/>
          <w:bCs/>
          <w:lang w:bidi="ar"/>
        </w:rPr>
        <w:t>在组装过程中，严格控制立杆的垂直度和稳定性。使用水平仪和垂直仪等工具进行检测，确保立杆在安装过程中始终保持垂直状态，避免因为安装偏差导致后续施工困难或安全隐患。</w:t>
      </w:r>
    </w:p>
    <w:p w14:paraId="117343A7">
      <w:pPr>
        <w:ind w:firstLine="480"/>
        <w:rPr>
          <w:rFonts w:hint="eastAsia" w:ascii="仿宋_GB2312" w:cs="仿宋_GB2312"/>
          <w:bCs/>
        </w:rPr>
      </w:pPr>
      <w:r>
        <w:rPr>
          <w:rFonts w:ascii="仿宋_GB2312" w:hAnsi="Calibri" w:cs="仿宋_GB2312"/>
          <w:bCs/>
          <w:lang w:bidi="ar"/>
        </w:rPr>
        <w:t>（2）立杆起吊：</w:t>
      </w:r>
    </w:p>
    <w:p w14:paraId="77638BC8">
      <w:pPr>
        <w:ind w:firstLine="480"/>
        <w:rPr>
          <w:rFonts w:hint="eastAsia" w:ascii="仿宋_GB2312" w:cs="仿宋_GB2312"/>
          <w:bCs/>
        </w:rPr>
      </w:pPr>
      <w:r>
        <w:rPr>
          <w:rFonts w:ascii="仿宋_GB2312" w:hAnsi="Calibri" w:cs="仿宋_GB2312"/>
          <w:bCs/>
          <w:lang w:bidi="ar"/>
        </w:rPr>
        <w:t>使用吊车或起重设备等吊装设备，将组装好的立杆平稳起吊至预先设定好的安装位置。在起吊过程中，要确保立杆受力均匀，避免因为局部受力过大导致变形或损坏。</w:t>
      </w:r>
    </w:p>
    <w:p w14:paraId="69FC58DE">
      <w:pPr>
        <w:ind w:firstLine="480"/>
        <w:rPr>
          <w:rFonts w:hint="eastAsia" w:ascii="仿宋_GB2312" w:cs="仿宋_GB2312"/>
          <w:bCs/>
        </w:rPr>
      </w:pPr>
      <w:r>
        <w:rPr>
          <w:rFonts w:ascii="仿宋_GB2312" w:hAnsi="Calibri" w:cs="仿宋_GB2312"/>
          <w:bCs/>
          <w:lang w:bidi="ar"/>
        </w:rPr>
        <w:t>起吊过程中应有专人负责指挥，同时设置警戒区域，防止无关人员靠近。吊车操作人员和指挥人员应密切配合，确保立杆在起吊和安装过程中的安全。</w:t>
      </w:r>
    </w:p>
    <w:p w14:paraId="4364A9E0">
      <w:pPr>
        <w:ind w:firstLine="480"/>
        <w:rPr>
          <w:rFonts w:hint="eastAsia" w:ascii="仿宋_GB2312" w:cs="仿宋_GB2312"/>
          <w:bCs/>
        </w:rPr>
      </w:pPr>
      <w:r>
        <w:rPr>
          <w:rFonts w:ascii="仿宋_GB2312" w:hAnsi="Calibri" w:cs="仿宋_GB2312"/>
          <w:bCs/>
          <w:lang w:bidi="ar"/>
        </w:rPr>
        <w:t>（3）立杆固定：</w:t>
      </w:r>
    </w:p>
    <w:p w14:paraId="0ECD0381">
      <w:pPr>
        <w:ind w:firstLine="480"/>
        <w:rPr>
          <w:rFonts w:hint="eastAsia" w:ascii="仿宋_GB2312" w:cs="仿宋_GB2312"/>
          <w:bCs/>
        </w:rPr>
      </w:pPr>
      <w:r>
        <w:rPr>
          <w:rFonts w:ascii="仿宋_GB2312" w:hAnsi="Calibri" w:cs="仿宋_GB2312"/>
          <w:bCs/>
          <w:lang w:bidi="ar"/>
        </w:rPr>
        <w:t>将立杆准确放置在预先准备好的基础上，通过预埋螺栓或焊接等方式将立杆固定在基础上。确保固定牢固可靠，满足设计荷载要求。</w:t>
      </w:r>
    </w:p>
    <w:p w14:paraId="0788DAC9">
      <w:pPr>
        <w:ind w:firstLine="480"/>
        <w:rPr>
          <w:rFonts w:hint="eastAsia" w:ascii="仿宋_GB2312" w:cs="仿宋_GB2312"/>
          <w:bCs/>
        </w:rPr>
      </w:pPr>
      <w:r>
        <w:rPr>
          <w:rFonts w:ascii="仿宋_GB2312" w:hAnsi="Calibri" w:cs="仿宋_GB2312"/>
          <w:bCs/>
          <w:lang w:bidi="ar"/>
        </w:rPr>
        <w:t>在固定过程中，再次检查立杆的垂直度和稳定性。使用经纬仪或吊线锤等工具进行检测，确保立杆在安装完成后始终保持垂直状态。同时检查立杆的稳定性是否符合设计要求，避免因为安装偏差导致后续施工困难或安全隐患。</w:t>
      </w:r>
    </w:p>
    <w:p w14:paraId="79C21A78">
      <w:pPr>
        <w:pStyle w:val="5"/>
        <w:rPr>
          <w:lang w:val="en-US"/>
        </w:rPr>
      </w:pPr>
      <w:r>
        <w:rPr>
          <w:rFonts w:hint="eastAsia"/>
          <w:lang w:val="en-US"/>
        </w:rPr>
        <w:t>施工图纸</w:t>
      </w:r>
    </w:p>
    <w:p w14:paraId="43CE160D">
      <w:pPr>
        <w:spacing w:line="240" w:lineRule="auto"/>
        <w:ind w:firstLine="0" w:firstLineChars="0"/>
        <w:rPr>
          <w:rFonts w:hint="eastAsia" w:eastAsia="仿宋_GB2312"/>
          <w:lang w:eastAsia="zh-CN"/>
        </w:rPr>
      </w:pPr>
      <w:r>
        <w:rPr>
          <w:rFonts w:hint="eastAsia" w:eastAsia="仿宋_GB2312"/>
          <w:lang w:eastAsia="zh-CN"/>
        </w:rPr>
        <w:drawing>
          <wp:inline distT="0" distB="0" distL="114300" distR="114300">
            <wp:extent cx="5218430" cy="3688715"/>
            <wp:effectExtent l="0" t="0" r="8890" b="14605"/>
            <wp:docPr id="61" name="图片 61" descr="20米监控杆施工示意图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20米监控杆施工示意图_02"/>
                    <pic:cNvPicPr>
                      <a:picLocks noChangeAspect="1"/>
                    </pic:cNvPicPr>
                  </pic:nvPicPr>
                  <pic:blipFill>
                    <a:blip r:embed="rId62"/>
                    <a:stretch>
                      <a:fillRect/>
                    </a:stretch>
                  </pic:blipFill>
                  <pic:spPr>
                    <a:xfrm>
                      <a:off x="0" y="0"/>
                      <a:ext cx="5218430" cy="3688715"/>
                    </a:xfrm>
                    <a:prstGeom prst="rect">
                      <a:avLst/>
                    </a:prstGeom>
                  </pic:spPr>
                </pic:pic>
              </a:graphicData>
            </a:graphic>
          </wp:inline>
        </w:drawing>
      </w:r>
    </w:p>
    <w:p w14:paraId="76AF3987">
      <w:pPr>
        <w:spacing w:line="240" w:lineRule="auto"/>
        <w:ind w:firstLine="0" w:firstLineChars="0"/>
        <w:rPr>
          <w:rFonts w:hint="eastAsia" w:eastAsia="仿宋_GB2312"/>
          <w:lang w:eastAsia="zh-CN"/>
        </w:rPr>
      </w:pPr>
      <w:r>
        <w:rPr>
          <w:rFonts w:hint="eastAsia" w:eastAsia="仿宋_GB2312"/>
          <w:lang w:eastAsia="zh-CN"/>
        </w:rPr>
        <w:drawing>
          <wp:inline distT="0" distB="0" distL="114300" distR="114300">
            <wp:extent cx="5218430" cy="3688715"/>
            <wp:effectExtent l="0" t="0" r="8890" b="14605"/>
            <wp:docPr id="63" name="图片 63" descr="20米监控杆施工示意图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20米监控杆施工示意图_03"/>
                    <pic:cNvPicPr>
                      <a:picLocks noChangeAspect="1"/>
                    </pic:cNvPicPr>
                  </pic:nvPicPr>
                  <pic:blipFill>
                    <a:blip r:embed="rId63"/>
                    <a:stretch>
                      <a:fillRect/>
                    </a:stretch>
                  </pic:blipFill>
                  <pic:spPr>
                    <a:xfrm>
                      <a:off x="0" y="0"/>
                      <a:ext cx="5218430" cy="3688715"/>
                    </a:xfrm>
                    <a:prstGeom prst="rect">
                      <a:avLst/>
                    </a:prstGeom>
                  </pic:spPr>
                </pic:pic>
              </a:graphicData>
            </a:graphic>
          </wp:inline>
        </w:drawing>
      </w:r>
    </w:p>
    <w:p w14:paraId="2464ABC7">
      <w:pPr>
        <w:spacing w:line="240" w:lineRule="auto"/>
        <w:ind w:firstLine="0" w:firstLineChars="0"/>
        <w:rPr>
          <w:rFonts w:hint="eastAsia" w:eastAsia="仿宋_GB2312"/>
          <w:lang w:eastAsia="zh-CN"/>
        </w:rPr>
      </w:pPr>
      <w:r>
        <w:rPr>
          <w:rFonts w:hint="eastAsia" w:eastAsia="仿宋_GB2312"/>
          <w:lang w:eastAsia="zh-CN"/>
        </w:rPr>
        <w:drawing>
          <wp:inline distT="0" distB="0" distL="114300" distR="114300">
            <wp:extent cx="5218430" cy="3688715"/>
            <wp:effectExtent l="0" t="0" r="8890" b="14605"/>
            <wp:docPr id="64" name="图片 64" descr="20米监控杆施工示意图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20米监控杆施工示意图_04"/>
                    <pic:cNvPicPr>
                      <a:picLocks noChangeAspect="1"/>
                    </pic:cNvPicPr>
                  </pic:nvPicPr>
                  <pic:blipFill>
                    <a:blip r:embed="rId64"/>
                    <a:stretch>
                      <a:fillRect/>
                    </a:stretch>
                  </pic:blipFill>
                  <pic:spPr>
                    <a:xfrm>
                      <a:off x="0" y="0"/>
                      <a:ext cx="5218430" cy="3688715"/>
                    </a:xfrm>
                    <a:prstGeom prst="rect">
                      <a:avLst/>
                    </a:prstGeom>
                  </pic:spPr>
                </pic:pic>
              </a:graphicData>
            </a:graphic>
          </wp:inline>
        </w:drawing>
      </w:r>
    </w:p>
    <w:p w14:paraId="15CC8CDD">
      <w:pPr>
        <w:spacing w:line="240" w:lineRule="auto"/>
        <w:ind w:firstLine="0" w:firstLineChars="0"/>
        <w:rPr>
          <w:rFonts w:hint="eastAsia" w:eastAsia="仿宋_GB2312"/>
          <w:lang w:eastAsia="zh-CN"/>
        </w:rPr>
      </w:pPr>
      <w:r>
        <w:rPr>
          <w:rFonts w:hint="eastAsia" w:eastAsia="仿宋_GB2312"/>
          <w:lang w:eastAsia="zh-CN"/>
        </w:rPr>
        <w:drawing>
          <wp:inline distT="0" distB="0" distL="114300" distR="114300">
            <wp:extent cx="5218430" cy="3688715"/>
            <wp:effectExtent l="0" t="0" r="8890" b="14605"/>
            <wp:docPr id="65" name="图片 65" descr="20米监控杆施工示意图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descr="20米监控杆施工示意图_05"/>
                    <pic:cNvPicPr>
                      <a:picLocks noChangeAspect="1"/>
                    </pic:cNvPicPr>
                  </pic:nvPicPr>
                  <pic:blipFill>
                    <a:blip r:embed="rId65"/>
                    <a:stretch>
                      <a:fillRect/>
                    </a:stretch>
                  </pic:blipFill>
                  <pic:spPr>
                    <a:xfrm>
                      <a:off x="0" y="0"/>
                      <a:ext cx="5218430" cy="3688715"/>
                    </a:xfrm>
                    <a:prstGeom prst="rect">
                      <a:avLst/>
                    </a:prstGeom>
                  </pic:spPr>
                </pic:pic>
              </a:graphicData>
            </a:graphic>
          </wp:inline>
        </w:drawing>
      </w:r>
    </w:p>
    <w:p w14:paraId="1A150908">
      <w:pPr>
        <w:spacing w:line="240" w:lineRule="auto"/>
        <w:ind w:firstLine="0" w:firstLineChars="0"/>
        <w:rPr>
          <w:rFonts w:hint="eastAsia" w:eastAsia="仿宋_GB2312"/>
          <w:lang w:eastAsia="zh-CN"/>
        </w:rPr>
      </w:pPr>
      <w:r>
        <w:rPr>
          <w:rFonts w:hint="eastAsia" w:eastAsia="仿宋_GB2312"/>
          <w:lang w:eastAsia="zh-CN"/>
        </w:rPr>
        <w:drawing>
          <wp:inline distT="0" distB="0" distL="114300" distR="114300">
            <wp:extent cx="5218430" cy="3688715"/>
            <wp:effectExtent l="0" t="0" r="8890" b="14605"/>
            <wp:docPr id="66" name="图片 66" descr="20米监控杆施工示意图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descr="20米监控杆施工示意图_06"/>
                    <pic:cNvPicPr>
                      <a:picLocks noChangeAspect="1"/>
                    </pic:cNvPicPr>
                  </pic:nvPicPr>
                  <pic:blipFill>
                    <a:blip r:embed="rId66"/>
                    <a:stretch>
                      <a:fillRect/>
                    </a:stretch>
                  </pic:blipFill>
                  <pic:spPr>
                    <a:xfrm>
                      <a:off x="0" y="0"/>
                      <a:ext cx="5218430" cy="3688715"/>
                    </a:xfrm>
                    <a:prstGeom prst="rect">
                      <a:avLst/>
                    </a:prstGeom>
                  </pic:spPr>
                </pic:pic>
              </a:graphicData>
            </a:graphic>
          </wp:inline>
        </w:drawing>
      </w:r>
    </w:p>
    <w:p w14:paraId="7A78F575">
      <w:pPr>
        <w:spacing w:line="240" w:lineRule="auto"/>
        <w:ind w:firstLine="0" w:firstLineChars="0"/>
        <w:rPr>
          <w:rFonts w:hint="eastAsia" w:eastAsia="仿宋_GB2312"/>
          <w:lang w:val="en-US" w:eastAsia="zh-CN"/>
        </w:rPr>
      </w:pPr>
      <w:r>
        <w:rPr>
          <w:rFonts w:hint="eastAsia" w:eastAsia="仿宋_GB2312"/>
          <w:lang w:val="en-US" w:eastAsia="zh-CN"/>
        </w:rPr>
        <w:drawing>
          <wp:inline distT="0" distB="0" distL="114300" distR="114300">
            <wp:extent cx="5218430" cy="3688715"/>
            <wp:effectExtent l="0" t="0" r="8890" b="14605"/>
            <wp:docPr id="68" name="图片 68" descr="20米监控杆施工示意图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descr="20米监控杆施工示意图_07"/>
                    <pic:cNvPicPr>
                      <a:picLocks noChangeAspect="1"/>
                    </pic:cNvPicPr>
                  </pic:nvPicPr>
                  <pic:blipFill>
                    <a:blip r:embed="rId67"/>
                    <a:stretch>
                      <a:fillRect/>
                    </a:stretch>
                  </pic:blipFill>
                  <pic:spPr>
                    <a:xfrm>
                      <a:off x="0" y="0"/>
                      <a:ext cx="5218430" cy="3688715"/>
                    </a:xfrm>
                    <a:prstGeom prst="rect">
                      <a:avLst/>
                    </a:prstGeom>
                  </pic:spPr>
                </pic:pic>
              </a:graphicData>
            </a:graphic>
          </wp:inline>
        </w:drawing>
      </w:r>
    </w:p>
    <w:p w14:paraId="009DCE85">
      <w:pPr>
        <w:spacing w:line="240" w:lineRule="auto"/>
        <w:ind w:firstLine="0" w:firstLineChars="0"/>
        <w:rPr>
          <w:rFonts w:hint="eastAsia" w:eastAsia="仿宋_GB2312"/>
          <w:lang w:val="en-US" w:eastAsia="zh-CN"/>
        </w:rPr>
      </w:pPr>
      <w:r>
        <w:rPr>
          <w:rFonts w:hint="eastAsia" w:eastAsia="仿宋_GB2312"/>
          <w:lang w:val="en-US" w:eastAsia="zh-CN"/>
        </w:rPr>
        <w:drawing>
          <wp:inline distT="0" distB="0" distL="114300" distR="114300">
            <wp:extent cx="5218430" cy="3688715"/>
            <wp:effectExtent l="0" t="0" r="8890" b="14605"/>
            <wp:docPr id="69" name="图片 69" descr="20米监控杆施工示意图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20米监控杆施工示意图_09"/>
                    <pic:cNvPicPr>
                      <a:picLocks noChangeAspect="1"/>
                    </pic:cNvPicPr>
                  </pic:nvPicPr>
                  <pic:blipFill>
                    <a:blip r:embed="rId68"/>
                    <a:stretch>
                      <a:fillRect/>
                    </a:stretch>
                  </pic:blipFill>
                  <pic:spPr>
                    <a:xfrm>
                      <a:off x="0" y="0"/>
                      <a:ext cx="5218430" cy="3688715"/>
                    </a:xfrm>
                    <a:prstGeom prst="rect">
                      <a:avLst/>
                    </a:prstGeom>
                  </pic:spPr>
                </pic:pic>
              </a:graphicData>
            </a:graphic>
          </wp:inline>
        </w:drawing>
      </w:r>
    </w:p>
    <w:p w14:paraId="3044D421">
      <w:pPr>
        <w:pStyle w:val="4"/>
        <w:rPr>
          <w:rFonts w:hint="eastAsia"/>
          <w:lang w:val="en-US"/>
        </w:rPr>
      </w:pPr>
      <w:bookmarkStart w:id="222" w:name="_Toc8735"/>
      <w:r>
        <w:rPr>
          <w:rFonts w:hint="eastAsia"/>
          <w:lang w:val="en-US"/>
        </w:rPr>
        <w:t>森林防火视频语音杆</w:t>
      </w:r>
      <w:bookmarkEnd w:id="222"/>
    </w:p>
    <w:p w14:paraId="0934DF7E">
      <w:pPr>
        <w:ind w:firstLine="480"/>
        <w:rPr>
          <w:rFonts w:hint="eastAsia" w:ascii="仿宋_GB2312" w:hAnsi="Calibri" w:eastAsia="仿宋_GB2312" w:cs="仿宋_GB2312"/>
          <w:bCs/>
          <w:lang w:eastAsia="zh-CN" w:bidi="ar"/>
        </w:rPr>
      </w:pPr>
      <w:r>
        <w:rPr>
          <w:rFonts w:hint="default" w:ascii="仿宋_GB2312" w:hAnsi="Calibri" w:cs="仿宋_GB2312"/>
          <w:bCs/>
          <w:lang w:bidi="ar"/>
        </w:rPr>
        <w:t>在正式施工前，针对</w:t>
      </w:r>
      <w:r>
        <w:rPr>
          <w:rFonts w:hint="eastAsia" w:ascii="仿宋_GB2312" w:hAnsi="Calibri" w:cs="仿宋_GB2312"/>
          <w:bCs/>
          <w:lang w:val="en-US" w:eastAsia="zh-CN" w:bidi="ar"/>
        </w:rPr>
        <w:t>529</w:t>
      </w:r>
      <w:r>
        <w:rPr>
          <w:rFonts w:hint="default" w:ascii="仿宋_GB2312" w:hAnsi="Calibri" w:cs="仿宋_GB2312"/>
          <w:bCs/>
          <w:lang w:bidi="ar"/>
        </w:rPr>
        <w:t>个监控点位进行详尽的现场勘查</w:t>
      </w:r>
      <w:r>
        <w:rPr>
          <w:rFonts w:hint="eastAsia" w:ascii="仿宋_GB2312" w:hAnsi="Calibri" w:cs="仿宋_GB2312"/>
          <w:bCs/>
          <w:lang w:eastAsia="zh-CN" w:bidi="ar"/>
        </w:rPr>
        <w:t>，</w:t>
      </w:r>
      <w:r>
        <w:rPr>
          <w:rFonts w:hint="default" w:ascii="仿宋_GB2312" w:hAnsi="Calibri" w:cs="仿宋_GB2312"/>
          <w:bCs/>
          <w:lang w:bidi="ar"/>
        </w:rPr>
        <w:t>记录每个点位的地形特征、土壤状况、地下水位及周边基础设施分布</w:t>
      </w:r>
      <w:r>
        <w:rPr>
          <w:rFonts w:hint="eastAsia" w:ascii="仿宋_GB2312" w:hAnsi="Calibri" w:cs="仿宋_GB2312"/>
          <w:bCs/>
          <w:lang w:eastAsia="zh-CN" w:bidi="ar"/>
        </w:rPr>
        <w:t>，</w:t>
      </w:r>
      <w:r>
        <w:rPr>
          <w:rFonts w:hint="default" w:ascii="仿宋_GB2312" w:hAnsi="Calibri" w:cs="仿宋_GB2312"/>
          <w:bCs/>
          <w:lang w:bidi="ar"/>
        </w:rPr>
        <w:t>规划设备箱安装位置</w:t>
      </w:r>
      <w:r>
        <w:rPr>
          <w:rFonts w:hint="eastAsia" w:ascii="仿宋_GB2312" w:hAnsi="Calibri" w:cs="仿宋_GB2312"/>
          <w:bCs/>
          <w:lang w:eastAsia="zh-CN" w:bidi="ar"/>
        </w:rPr>
        <w:t>。</w:t>
      </w:r>
    </w:p>
    <w:p w14:paraId="662485EC">
      <w:pPr>
        <w:pStyle w:val="5"/>
        <w:rPr>
          <w:lang w:val="en-US"/>
        </w:rPr>
      </w:pPr>
      <w:r>
        <w:rPr>
          <w:lang w:val="en-US"/>
        </w:rPr>
        <w:t>基础施工</w:t>
      </w:r>
    </w:p>
    <w:p w14:paraId="63405A71">
      <w:pPr>
        <w:ind w:firstLine="480"/>
        <w:rPr>
          <w:rFonts w:hint="eastAsia" w:ascii="仿宋_GB2312" w:cs="仿宋_GB2312"/>
          <w:bCs/>
        </w:rPr>
      </w:pPr>
      <w:r>
        <w:rPr>
          <w:rFonts w:ascii="仿宋_GB2312" w:hAnsi="Calibri" w:cs="仿宋_GB2312"/>
          <w:bCs/>
          <w:lang w:bidi="ar"/>
        </w:rPr>
        <w:t>（1）基础开挖：</w:t>
      </w:r>
    </w:p>
    <w:p w14:paraId="732881C3">
      <w:pPr>
        <w:ind w:firstLine="480"/>
        <w:rPr>
          <w:rFonts w:hint="eastAsia" w:ascii="仿宋_GB2312" w:cs="仿宋_GB2312"/>
          <w:bCs/>
        </w:rPr>
      </w:pPr>
      <w:r>
        <w:rPr>
          <w:rFonts w:ascii="仿宋_GB2312" w:hAnsi="Calibri" w:cs="仿宋_GB2312"/>
          <w:bCs/>
          <w:lang w:bidi="ar"/>
        </w:rPr>
        <w:t>根据提供的施工图纸，精确地按照设计要求进行基础开挖工作。这包括确保基础的深度、宽度和长度等尺寸严格符合设计要求，同时考虑土壤条件、地下水位等因素，确保基础的稳定性和承载力。</w:t>
      </w:r>
    </w:p>
    <w:p w14:paraId="15AB71D0">
      <w:pPr>
        <w:ind w:firstLine="480"/>
        <w:rPr>
          <w:rFonts w:hint="eastAsia" w:ascii="仿宋_GB2312" w:cs="仿宋_GB2312"/>
          <w:bCs/>
        </w:rPr>
      </w:pPr>
      <w:r>
        <w:rPr>
          <w:rFonts w:ascii="仿宋_GB2312" w:hAnsi="Calibri" w:cs="仿宋_GB2312"/>
          <w:bCs/>
          <w:lang w:bidi="ar"/>
        </w:rPr>
        <w:t>在开挖过程中，要采取有效措施保护周边环境和设施。例如，对周边建筑物进行监测，防止因开挖导致的沉降或裂缝；合理安排施工顺序和工艺，避免对地下管线、电缆等基础设施造成损坏。</w:t>
      </w:r>
    </w:p>
    <w:p w14:paraId="3C0EC3C8">
      <w:pPr>
        <w:ind w:firstLine="480"/>
        <w:rPr>
          <w:rFonts w:hint="eastAsia" w:ascii="仿宋_GB2312" w:cs="仿宋_GB2312"/>
          <w:bCs/>
        </w:rPr>
      </w:pPr>
      <w:r>
        <w:rPr>
          <w:rFonts w:ascii="仿宋_GB2312" w:hAnsi="Calibri" w:cs="仿宋_GB2312"/>
          <w:bCs/>
          <w:lang w:bidi="ar"/>
        </w:rPr>
        <w:t>（2）基础浇筑：</w:t>
      </w:r>
    </w:p>
    <w:p w14:paraId="16A8E41E">
      <w:pPr>
        <w:ind w:firstLine="480"/>
        <w:rPr>
          <w:rFonts w:hint="eastAsia" w:ascii="仿宋_GB2312" w:cs="仿宋_GB2312"/>
          <w:bCs/>
        </w:rPr>
      </w:pPr>
      <w:r>
        <w:rPr>
          <w:rFonts w:ascii="仿宋_GB2312" w:hAnsi="Calibri" w:cs="仿宋_GB2312"/>
          <w:bCs/>
          <w:lang w:bidi="ar"/>
        </w:rPr>
        <w:t>当基础开挖至设计深度后，开始进行混凝土浇筑工作。根据设计要求，选用符合标准的混凝土材料，确保混凝土强度不低于C20。</w:t>
      </w:r>
    </w:p>
    <w:p w14:paraId="04DAD8BB">
      <w:pPr>
        <w:ind w:firstLine="480"/>
        <w:rPr>
          <w:rFonts w:hint="eastAsia" w:ascii="仿宋_GB2312" w:cs="仿宋_GB2312"/>
          <w:bCs/>
        </w:rPr>
      </w:pPr>
      <w:r>
        <w:rPr>
          <w:rFonts w:ascii="仿宋_GB2312" w:hAnsi="Calibri" w:cs="仿宋_GB2312"/>
          <w:bCs/>
          <w:lang w:bidi="ar"/>
        </w:rPr>
        <w:t>在浇筑过程中，要精确控制浇筑速度和方式，确保混凝土均匀填充基础模板，并紧密贴合地笼钢筋结构。同时，注意观察地笼是否发生偏移或变形，如有异常应立即停止浇筑并采取相应措施进行纠正。</w:t>
      </w:r>
    </w:p>
    <w:p w14:paraId="69E26CA2">
      <w:pPr>
        <w:ind w:firstLine="480"/>
        <w:rPr>
          <w:rFonts w:hint="eastAsia" w:ascii="仿宋_GB2312" w:cs="仿宋_GB2312"/>
          <w:bCs/>
        </w:rPr>
      </w:pPr>
      <w:r>
        <w:rPr>
          <w:rFonts w:ascii="仿宋_GB2312" w:hAnsi="Calibri" w:cs="仿宋_GB2312"/>
          <w:bCs/>
          <w:lang w:bidi="ar"/>
        </w:rPr>
        <w:t>浇筑完成后，使用水准仪或全站仪等测量工具立即检测地笼的垂直度。若发现地笼有偏离设计位置的情况，应立即进行调整，确保基础的稳定性和安全性。</w:t>
      </w:r>
    </w:p>
    <w:p w14:paraId="04A939E9">
      <w:pPr>
        <w:ind w:firstLine="480"/>
        <w:rPr>
          <w:rFonts w:hint="eastAsia" w:ascii="仿宋_GB2312" w:cs="仿宋_GB2312"/>
          <w:bCs/>
        </w:rPr>
      </w:pPr>
      <w:r>
        <w:rPr>
          <w:rFonts w:ascii="仿宋_GB2312" w:hAnsi="Calibri" w:cs="仿宋_GB2312"/>
          <w:bCs/>
          <w:lang w:bidi="ar"/>
        </w:rPr>
        <w:t>（3）基础养护：</w:t>
      </w:r>
    </w:p>
    <w:p w14:paraId="775CF7CC">
      <w:pPr>
        <w:ind w:firstLine="480"/>
        <w:rPr>
          <w:rFonts w:hint="eastAsia" w:ascii="仿宋_GB2312" w:cs="仿宋_GB2312"/>
          <w:bCs/>
        </w:rPr>
      </w:pPr>
      <w:r>
        <w:rPr>
          <w:rFonts w:ascii="仿宋_GB2312" w:hAnsi="Calibri" w:cs="仿宋_GB2312"/>
          <w:bCs/>
          <w:lang w:bidi="ar"/>
        </w:rPr>
        <w:t>浇筑完成后，按照施工规范进行浇水养护。养护期间应保持混凝土表面湿润，以促进水泥水化反应的顺利进行，确保混凝土达到设计强度。</w:t>
      </w:r>
    </w:p>
    <w:p w14:paraId="51A5B52A">
      <w:pPr>
        <w:ind w:firstLine="0" w:firstLineChars="0"/>
        <w:rPr>
          <w:rFonts w:ascii="仿宋_GB2312" w:hAnsi="Calibri" w:cs="仿宋_GB2312"/>
          <w:bCs/>
          <w:lang w:bidi="ar"/>
        </w:rPr>
      </w:pPr>
      <w:r>
        <w:rPr>
          <w:rFonts w:ascii="仿宋_GB2312" w:hAnsi="Calibri" w:cs="仿宋_GB2312"/>
          <w:bCs/>
          <w:lang w:bidi="ar"/>
        </w:rPr>
        <w:t>在养护期间内，应禁止任何重物压在地面上，以免造成基础沉降或变形。同时，要避免基础受到外界冲击和振动等影响，确保其稳定可靠。</w:t>
      </w:r>
    </w:p>
    <w:p w14:paraId="0B3365CB">
      <w:pPr>
        <w:pStyle w:val="5"/>
        <w:rPr>
          <w:rFonts w:ascii="仿宋_GB2312" w:hAnsi="Calibri" w:cs="仿宋_GB2312"/>
          <w:bCs/>
          <w:lang w:bidi="ar"/>
        </w:rPr>
      </w:pPr>
      <w:r>
        <w:rPr>
          <w:lang w:val="en-US"/>
        </w:rPr>
        <w:t>立杆安装</w:t>
      </w:r>
    </w:p>
    <w:p w14:paraId="0546CAB1">
      <w:pPr>
        <w:ind w:firstLine="480"/>
        <w:rPr>
          <w:rFonts w:hint="eastAsia" w:ascii="仿宋_GB2312" w:cs="仿宋_GB2312"/>
          <w:bCs/>
        </w:rPr>
      </w:pPr>
      <w:r>
        <w:rPr>
          <w:rFonts w:ascii="仿宋_GB2312" w:hAnsi="Calibri" w:cs="仿宋_GB2312"/>
          <w:bCs/>
          <w:lang w:bidi="ar"/>
        </w:rPr>
        <w:t>立杆</w:t>
      </w:r>
      <w:r>
        <w:rPr>
          <w:rFonts w:hint="eastAsia" w:ascii="仿宋_GB2312" w:hAnsi="Calibri" w:cs="仿宋_GB2312"/>
          <w:bCs/>
          <w:lang w:val="en-US" w:eastAsia="zh-CN" w:bidi="ar"/>
        </w:rPr>
        <w:t>安装</w:t>
      </w:r>
      <w:r>
        <w:rPr>
          <w:rFonts w:ascii="仿宋_GB2312" w:hAnsi="Calibri" w:cs="仿宋_GB2312"/>
          <w:bCs/>
          <w:lang w:bidi="ar"/>
        </w:rPr>
        <w:t>：</w:t>
      </w:r>
    </w:p>
    <w:p w14:paraId="185D07E8">
      <w:pPr>
        <w:ind w:firstLine="480"/>
        <w:rPr>
          <w:rFonts w:hint="eastAsia" w:ascii="仿宋_GB2312" w:cs="仿宋_GB2312"/>
          <w:bCs/>
        </w:rPr>
      </w:pPr>
      <w:r>
        <w:rPr>
          <w:rFonts w:ascii="仿宋_GB2312" w:hAnsi="Calibri" w:cs="仿宋_GB2312"/>
          <w:bCs/>
          <w:lang w:bidi="ar"/>
        </w:rPr>
        <w:t>将立杆准确放置在预先准备好的基础上，通过预埋螺栓或焊接等方式将立杆固定在基础上。确保固定牢固可靠，满足设计荷载要求。</w:t>
      </w:r>
    </w:p>
    <w:p w14:paraId="315A5CD4">
      <w:pPr>
        <w:ind w:firstLine="480"/>
        <w:rPr>
          <w:rFonts w:hint="eastAsia" w:ascii="仿宋_GB2312" w:cs="仿宋_GB2312"/>
          <w:bCs/>
        </w:rPr>
      </w:pPr>
      <w:r>
        <w:rPr>
          <w:rFonts w:ascii="仿宋_GB2312" w:hAnsi="Calibri" w:cs="仿宋_GB2312"/>
          <w:bCs/>
          <w:lang w:bidi="ar"/>
        </w:rPr>
        <w:t>在固定过程中，再次检查立杆的垂直度和稳定性。使用经纬仪或吊线锤等工具进行检测，确保立杆在安装完成后始终保持垂直状态。同时检查立杆的稳定性是否符合设计要求，避免因为安装偏差导致后续施工困难或安全隐患。</w:t>
      </w:r>
    </w:p>
    <w:p w14:paraId="1273813B">
      <w:pPr>
        <w:pStyle w:val="5"/>
        <w:rPr>
          <w:lang w:val="en-US"/>
        </w:rPr>
      </w:pPr>
      <w:r>
        <w:rPr>
          <w:rFonts w:hint="eastAsia"/>
          <w:lang w:val="en-US"/>
        </w:rPr>
        <w:t>施工图纸</w:t>
      </w:r>
    </w:p>
    <w:p w14:paraId="65663C38">
      <w:pPr>
        <w:rPr>
          <w:lang w:val="en-US"/>
        </w:rPr>
      </w:pPr>
    </w:p>
    <w:p w14:paraId="784C7C55">
      <w:pPr>
        <w:spacing w:line="240" w:lineRule="auto"/>
        <w:ind w:firstLine="0" w:firstLineChars="0"/>
        <w:rPr>
          <w:rFonts w:hint="eastAsia" w:eastAsia="仿宋_GB2312"/>
          <w:lang w:val="en-US" w:eastAsia="zh-CN"/>
        </w:rPr>
      </w:pPr>
      <w:r>
        <w:rPr>
          <w:rFonts w:hint="eastAsia" w:eastAsia="仿宋_GB2312"/>
          <w:lang w:val="en-US" w:eastAsia="zh-CN"/>
        </w:rPr>
        <w:drawing>
          <wp:inline distT="0" distB="0" distL="114300" distR="114300">
            <wp:extent cx="5218430" cy="3688715"/>
            <wp:effectExtent l="0" t="0" r="8890" b="14605"/>
            <wp:docPr id="46" name="图片 46" descr="森林防火视频宣传杆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森林防火视频宣传杆_01"/>
                    <pic:cNvPicPr>
                      <a:picLocks noChangeAspect="1"/>
                    </pic:cNvPicPr>
                  </pic:nvPicPr>
                  <pic:blipFill>
                    <a:blip r:embed="rId69"/>
                    <a:stretch>
                      <a:fillRect/>
                    </a:stretch>
                  </pic:blipFill>
                  <pic:spPr>
                    <a:xfrm>
                      <a:off x="0" y="0"/>
                      <a:ext cx="5218430" cy="3688715"/>
                    </a:xfrm>
                    <a:prstGeom prst="rect">
                      <a:avLst/>
                    </a:prstGeom>
                  </pic:spPr>
                </pic:pic>
              </a:graphicData>
            </a:graphic>
          </wp:inline>
        </w:drawing>
      </w:r>
    </w:p>
    <w:p w14:paraId="308FBCFC">
      <w:pPr>
        <w:spacing w:line="240" w:lineRule="auto"/>
        <w:ind w:firstLine="0" w:firstLineChars="0"/>
        <w:rPr>
          <w:rFonts w:hint="eastAsia" w:eastAsia="仿宋_GB2312"/>
          <w:lang w:val="en-US" w:eastAsia="zh-CN"/>
        </w:rPr>
      </w:pPr>
      <w:r>
        <w:rPr>
          <w:rFonts w:hint="eastAsia" w:eastAsia="仿宋_GB2312"/>
          <w:lang w:val="en-US" w:eastAsia="zh-CN"/>
        </w:rPr>
        <w:drawing>
          <wp:inline distT="0" distB="0" distL="114300" distR="114300">
            <wp:extent cx="5218430" cy="3688715"/>
            <wp:effectExtent l="0" t="0" r="8890" b="14605"/>
            <wp:docPr id="49" name="图片 49" descr="森林防火视频宣传杆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森林防火视频宣传杆_02"/>
                    <pic:cNvPicPr>
                      <a:picLocks noChangeAspect="1"/>
                    </pic:cNvPicPr>
                  </pic:nvPicPr>
                  <pic:blipFill>
                    <a:blip r:embed="rId70"/>
                    <a:stretch>
                      <a:fillRect/>
                    </a:stretch>
                  </pic:blipFill>
                  <pic:spPr>
                    <a:xfrm>
                      <a:off x="0" y="0"/>
                      <a:ext cx="5218430" cy="3688715"/>
                    </a:xfrm>
                    <a:prstGeom prst="rect">
                      <a:avLst/>
                    </a:prstGeom>
                  </pic:spPr>
                </pic:pic>
              </a:graphicData>
            </a:graphic>
          </wp:inline>
        </w:drawing>
      </w:r>
    </w:p>
    <w:p w14:paraId="7A392DCE">
      <w:pPr>
        <w:rPr>
          <w:lang w:val="en-US"/>
        </w:rPr>
      </w:pPr>
    </w:p>
    <w:p w14:paraId="7F9E652C">
      <w:pPr>
        <w:ind w:left="0" w:leftChars="0" w:firstLine="0" w:firstLineChars="0"/>
        <w:rPr>
          <w:lang w:val="en-US"/>
        </w:rPr>
      </w:pPr>
    </w:p>
    <w:p w14:paraId="6086ED52">
      <w:pPr>
        <w:rPr>
          <w:lang w:val="en-US"/>
        </w:rPr>
      </w:pPr>
    </w:p>
    <w:p w14:paraId="7346CCA1">
      <w:pPr>
        <w:rPr>
          <w:lang w:val="en-US"/>
        </w:rPr>
      </w:pPr>
    </w:p>
    <w:p w14:paraId="5EBE229F">
      <w:pPr>
        <w:rPr>
          <w:lang w:val="en-US"/>
        </w:rPr>
      </w:pPr>
    </w:p>
    <w:p w14:paraId="4B9248C8">
      <w:pPr>
        <w:ind w:left="0" w:leftChars="0" w:firstLine="0" w:firstLineChars="0"/>
        <w:rPr>
          <w:rFonts w:hint="eastAsia" w:eastAsia="仿宋_GB2312"/>
          <w:lang w:val="en-US" w:eastAsia="zh-CN"/>
        </w:rPr>
      </w:pPr>
      <w:r>
        <w:rPr>
          <w:rFonts w:hint="eastAsia" w:eastAsia="仿宋_GB2312"/>
          <w:lang w:val="en-US" w:eastAsia="zh-CN"/>
        </w:rPr>
        <w:drawing>
          <wp:anchor distT="0" distB="0" distL="114300" distR="114300" simplePos="0" relativeHeight="251676672" behindDoc="0" locked="0" layoutInCell="1" allowOverlap="1">
            <wp:simplePos x="0" y="0"/>
            <wp:positionH relativeFrom="column">
              <wp:posOffset>7620</wp:posOffset>
            </wp:positionH>
            <wp:positionV relativeFrom="paragraph">
              <wp:posOffset>-88900</wp:posOffset>
            </wp:positionV>
            <wp:extent cx="5218430" cy="3688715"/>
            <wp:effectExtent l="0" t="0" r="8890" b="14605"/>
            <wp:wrapNone/>
            <wp:docPr id="60" name="图片 60" descr="森林防火视频宣传杆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森林防火视频宣传杆_03"/>
                    <pic:cNvPicPr>
                      <a:picLocks noChangeAspect="1"/>
                    </pic:cNvPicPr>
                  </pic:nvPicPr>
                  <pic:blipFill>
                    <a:blip r:embed="rId71"/>
                    <a:stretch>
                      <a:fillRect/>
                    </a:stretch>
                  </pic:blipFill>
                  <pic:spPr>
                    <a:xfrm>
                      <a:off x="0" y="0"/>
                      <a:ext cx="5218430" cy="3688715"/>
                    </a:xfrm>
                    <a:prstGeom prst="rect">
                      <a:avLst/>
                    </a:prstGeom>
                  </pic:spPr>
                </pic:pic>
              </a:graphicData>
            </a:graphic>
          </wp:anchor>
        </w:drawing>
      </w:r>
    </w:p>
    <w:p w14:paraId="7740E475">
      <w:pPr>
        <w:rPr>
          <w:lang w:val="en-US"/>
        </w:rPr>
      </w:pPr>
    </w:p>
    <w:p w14:paraId="1007E0C4">
      <w:pPr>
        <w:rPr>
          <w:lang w:val="en-US"/>
        </w:rPr>
      </w:pPr>
    </w:p>
    <w:p w14:paraId="2EA7124A">
      <w:pPr>
        <w:rPr>
          <w:lang w:val="en-US"/>
        </w:rPr>
      </w:pPr>
    </w:p>
    <w:p w14:paraId="4B35EBE4">
      <w:pPr>
        <w:rPr>
          <w:lang w:val="en-US"/>
        </w:rPr>
      </w:pPr>
    </w:p>
    <w:p w14:paraId="17762D09">
      <w:pPr>
        <w:rPr>
          <w:lang w:val="en-US"/>
        </w:rPr>
      </w:pPr>
    </w:p>
    <w:p w14:paraId="670E40A1">
      <w:pPr>
        <w:rPr>
          <w:lang w:val="en-US"/>
        </w:rPr>
      </w:pPr>
    </w:p>
    <w:p w14:paraId="0B3ABC1D">
      <w:pPr>
        <w:rPr>
          <w:lang w:val="en-US"/>
        </w:rPr>
      </w:pPr>
    </w:p>
    <w:p w14:paraId="72732333">
      <w:pPr>
        <w:rPr>
          <w:lang w:val="en-US"/>
        </w:rPr>
      </w:pPr>
    </w:p>
    <w:p w14:paraId="1D8590E9">
      <w:pPr>
        <w:rPr>
          <w:lang w:val="en-US"/>
        </w:rPr>
      </w:pPr>
    </w:p>
    <w:p w14:paraId="227A7A84">
      <w:pPr>
        <w:rPr>
          <w:lang w:val="en-US"/>
        </w:rPr>
      </w:pPr>
    </w:p>
    <w:p w14:paraId="71734F85">
      <w:pPr>
        <w:rPr>
          <w:lang w:val="en-US"/>
        </w:rPr>
      </w:pPr>
    </w:p>
    <w:p w14:paraId="223CDFE2">
      <w:pPr>
        <w:rPr>
          <w:lang w:val="en-US"/>
        </w:rPr>
      </w:pPr>
    </w:p>
    <w:p w14:paraId="7FEB9CB3">
      <w:pPr>
        <w:ind w:left="0" w:leftChars="0" w:firstLine="0" w:firstLineChars="0"/>
        <w:rPr>
          <w:lang w:val="en-US"/>
        </w:rPr>
      </w:pPr>
    </w:p>
    <w:p w14:paraId="457C62D3">
      <w:pPr>
        <w:pStyle w:val="4"/>
        <w:rPr>
          <w:rFonts w:hint="eastAsia"/>
          <w:lang w:val="en-US"/>
        </w:rPr>
      </w:pPr>
      <w:bookmarkStart w:id="223" w:name="_Toc5686"/>
      <w:r>
        <w:rPr>
          <w:rFonts w:hint="eastAsia"/>
          <w:lang w:val="en-US" w:eastAsia="zh-CN"/>
        </w:rPr>
        <w:t>一体化云台摄像机</w:t>
      </w:r>
      <w:bookmarkEnd w:id="223"/>
    </w:p>
    <w:p w14:paraId="12C4301C">
      <w:pPr>
        <w:pStyle w:val="5"/>
        <w:rPr>
          <w:lang w:val="en-US"/>
        </w:rPr>
      </w:pPr>
      <w:r>
        <w:rPr>
          <w:rFonts w:hint="default"/>
          <w:lang w:val="en-US"/>
        </w:rPr>
        <w:t>施工准备</w:t>
      </w:r>
    </w:p>
    <w:p w14:paraId="7D046F2D">
      <w:pPr>
        <w:ind w:firstLine="480"/>
        <w:rPr>
          <w:rFonts w:hint="default" w:ascii="仿宋_GB2312" w:hAnsi="Calibri" w:cs="仿宋_GB2312"/>
          <w:bCs/>
          <w:lang w:bidi="ar"/>
        </w:rPr>
      </w:pPr>
      <w:r>
        <w:rPr>
          <w:rFonts w:hint="default" w:ascii="仿宋_GB2312" w:hAnsi="Calibri" w:cs="仿宋_GB2312"/>
          <w:bCs/>
          <w:lang w:bidi="ar"/>
        </w:rPr>
        <w:t>（1）现场勘查</w:t>
      </w:r>
    </w:p>
    <w:p w14:paraId="32BC049E">
      <w:pPr>
        <w:ind w:firstLine="480"/>
        <w:rPr>
          <w:rFonts w:hint="default" w:ascii="仿宋_GB2312" w:hAnsi="Calibri" w:cs="仿宋_GB2312"/>
          <w:bCs/>
          <w:lang w:bidi="ar"/>
        </w:rPr>
      </w:pPr>
      <w:r>
        <w:rPr>
          <w:rFonts w:hint="default" w:ascii="仿宋_GB2312" w:hAnsi="Calibri" w:cs="仿宋_GB2312"/>
          <w:bCs/>
          <w:lang w:bidi="ar"/>
        </w:rPr>
        <w:t>在正式施工前，针对17个监控点位（9台3KM热成像一体化云台摄像机、8台5KM热成像一体化云台摄像机）进行详尽的现场勘查：</w:t>
      </w:r>
    </w:p>
    <w:p w14:paraId="70A11201">
      <w:pPr>
        <w:ind w:firstLine="480"/>
        <w:rPr>
          <w:rFonts w:hint="eastAsia" w:ascii="仿宋_GB2312" w:hAnsi="Calibri" w:eastAsia="仿宋_GB2312" w:cs="仿宋_GB2312"/>
          <w:bCs/>
          <w:lang w:eastAsia="zh-CN" w:bidi="ar"/>
        </w:rPr>
      </w:pPr>
      <w:r>
        <w:rPr>
          <w:rFonts w:hint="default" w:ascii="仿宋_GB2312" w:hAnsi="Calibri" w:cs="仿宋_GB2312"/>
          <w:bCs/>
          <w:lang w:bidi="ar"/>
        </w:rPr>
        <w:t>根据点位林区环境和监控覆盖需求，确定杆塔类型（角钢塔/三管塔/单管塔）及高度（不低于25米）</w:t>
      </w:r>
      <w:r>
        <w:rPr>
          <w:rFonts w:hint="eastAsia" w:ascii="仿宋_GB2312" w:hAnsi="Calibri" w:cs="仿宋_GB2312"/>
          <w:bCs/>
          <w:lang w:eastAsia="zh-CN" w:bidi="ar"/>
        </w:rPr>
        <w:t>；</w:t>
      </w:r>
    </w:p>
    <w:p w14:paraId="5BD0EC18">
      <w:pPr>
        <w:ind w:firstLine="480"/>
        <w:rPr>
          <w:rFonts w:hint="eastAsia" w:ascii="仿宋_GB2312" w:hAnsi="Calibri" w:eastAsia="仿宋_GB2312" w:cs="仿宋_GB2312"/>
          <w:bCs/>
          <w:lang w:eastAsia="zh-CN" w:bidi="ar"/>
        </w:rPr>
      </w:pPr>
      <w:r>
        <w:rPr>
          <w:rFonts w:hint="default" w:ascii="仿宋_GB2312" w:hAnsi="Calibri" w:cs="仿宋_GB2312"/>
          <w:bCs/>
          <w:lang w:bidi="ar"/>
        </w:rPr>
        <w:t>核实点位供电稳定性，确认是否配置满足3小时备电要求的UPS电源</w:t>
      </w:r>
      <w:r>
        <w:rPr>
          <w:rFonts w:hint="eastAsia" w:ascii="仿宋_GB2312" w:hAnsi="Calibri" w:cs="仿宋_GB2312"/>
          <w:bCs/>
          <w:lang w:eastAsia="zh-CN" w:bidi="ar"/>
        </w:rPr>
        <w:t>。</w:t>
      </w:r>
    </w:p>
    <w:p w14:paraId="0F7D2368">
      <w:pPr>
        <w:ind w:firstLine="480"/>
        <w:rPr>
          <w:rFonts w:hint="default" w:ascii="仿宋_GB2312" w:hAnsi="Calibri" w:cs="仿宋_GB2312"/>
          <w:bCs/>
          <w:lang w:bidi="ar"/>
        </w:rPr>
      </w:pPr>
      <w:r>
        <w:rPr>
          <w:rFonts w:hint="default" w:ascii="仿宋_GB2312" w:hAnsi="Calibri" w:cs="仿宋_GB2312"/>
          <w:bCs/>
          <w:lang w:bidi="ar"/>
        </w:rPr>
        <w:t>（2）施工图纸设计</w:t>
      </w:r>
    </w:p>
    <w:p w14:paraId="06A2C429">
      <w:pPr>
        <w:ind w:firstLine="480"/>
        <w:rPr>
          <w:rFonts w:hint="default" w:ascii="仿宋_GB2312" w:hAnsi="Calibri" w:cs="仿宋_GB2312"/>
          <w:bCs/>
          <w:lang w:bidi="ar"/>
        </w:rPr>
      </w:pPr>
      <w:r>
        <w:rPr>
          <w:rFonts w:hint="default" w:ascii="仿宋_GB2312" w:hAnsi="Calibri" w:cs="仿宋_GB2312"/>
          <w:bCs/>
          <w:lang w:bidi="ar"/>
        </w:rPr>
        <w:t>根据现场勘查数据，由专业设计师绘制精准施工图纸，明确以下核心内容：</w:t>
      </w:r>
    </w:p>
    <w:p w14:paraId="022128EF">
      <w:pPr>
        <w:ind w:firstLine="480"/>
        <w:rPr>
          <w:rFonts w:hint="eastAsia" w:ascii="仿宋_GB2312" w:hAnsi="Calibri" w:eastAsia="仿宋_GB2312" w:cs="仿宋_GB2312"/>
          <w:bCs/>
          <w:lang w:eastAsia="zh-CN" w:bidi="ar"/>
        </w:rPr>
      </w:pPr>
      <w:r>
        <w:rPr>
          <w:rFonts w:hint="eastAsia" w:ascii="仿宋_GB2312" w:hAnsi="Calibri" w:cs="仿宋_GB2312"/>
          <w:bCs/>
          <w:lang w:val="en-US" w:eastAsia="zh-CN" w:bidi="ar"/>
        </w:rPr>
        <w:t>云台支架</w:t>
      </w:r>
      <w:r>
        <w:rPr>
          <w:rFonts w:hint="default" w:ascii="仿宋_GB2312" w:hAnsi="Calibri" w:cs="仿宋_GB2312"/>
          <w:bCs/>
          <w:lang w:bidi="ar"/>
        </w:rPr>
        <w:t>的尺寸、</w:t>
      </w:r>
      <w:r>
        <w:rPr>
          <w:rFonts w:hint="eastAsia" w:ascii="仿宋_GB2312" w:hAnsi="Calibri" w:cs="仿宋_GB2312"/>
          <w:bCs/>
          <w:lang w:val="en-US" w:eastAsia="zh-CN" w:bidi="ar"/>
        </w:rPr>
        <w:t>支架安装位置</w:t>
      </w:r>
      <w:r>
        <w:rPr>
          <w:rFonts w:hint="default" w:ascii="仿宋_GB2312" w:hAnsi="Calibri" w:cs="仿宋_GB2312"/>
          <w:bCs/>
          <w:lang w:bidi="ar"/>
        </w:rPr>
        <w:t>位置及接地装置设计</w:t>
      </w:r>
      <w:r>
        <w:rPr>
          <w:rFonts w:hint="eastAsia" w:ascii="仿宋_GB2312" w:hAnsi="Calibri" w:cs="仿宋_GB2312"/>
          <w:bCs/>
          <w:lang w:eastAsia="zh-CN" w:bidi="ar"/>
        </w:rPr>
        <w:t>；</w:t>
      </w:r>
    </w:p>
    <w:p w14:paraId="0BBF4583">
      <w:pPr>
        <w:ind w:firstLine="480"/>
        <w:rPr>
          <w:rFonts w:hint="eastAsia" w:ascii="仿宋_GB2312" w:hAnsi="Calibri" w:eastAsia="仿宋_GB2312" w:cs="仿宋_GB2312"/>
          <w:bCs/>
          <w:lang w:eastAsia="zh-CN" w:bidi="ar"/>
        </w:rPr>
      </w:pPr>
      <w:r>
        <w:rPr>
          <w:rFonts w:hint="default" w:ascii="仿宋_GB2312" w:hAnsi="Calibri" w:cs="仿宋_GB2312"/>
          <w:bCs/>
          <w:lang w:bidi="ar"/>
        </w:rPr>
        <w:t>不同类型一体化云台的安装高度、视野角度预留及防雷接地细节</w:t>
      </w:r>
      <w:r>
        <w:rPr>
          <w:rFonts w:hint="eastAsia" w:ascii="仿宋_GB2312" w:hAnsi="Calibri" w:cs="仿宋_GB2312"/>
          <w:bCs/>
          <w:lang w:eastAsia="zh-CN" w:bidi="ar"/>
        </w:rPr>
        <w:t>。</w:t>
      </w:r>
    </w:p>
    <w:p w14:paraId="04F5402B">
      <w:pPr>
        <w:ind w:firstLine="480"/>
        <w:rPr>
          <w:rFonts w:hint="default" w:ascii="仿宋_GB2312" w:hAnsi="Calibri" w:cs="仿宋_GB2312"/>
          <w:bCs/>
          <w:lang w:bidi="ar"/>
        </w:rPr>
      </w:pPr>
      <w:r>
        <w:rPr>
          <w:rFonts w:hint="default" w:ascii="仿宋_GB2312" w:hAnsi="Calibri" w:cs="仿宋_GB2312"/>
          <w:bCs/>
          <w:lang w:bidi="ar"/>
        </w:rPr>
        <w:t>（3）材料准备</w:t>
      </w:r>
    </w:p>
    <w:p w14:paraId="55297371">
      <w:pPr>
        <w:ind w:firstLine="480"/>
        <w:rPr>
          <w:rFonts w:hint="default" w:ascii="仿宋_GB2312" w:hAnsi="Calibri" w:cs="仿宋_GB2312"/>
          <w:bCs/>
          <w:lang w:bidi="ar"/>
        </w:rPr>
      </w:pPr>
      <w:r>
        <w:rPr>
          <w:rFonts w:hint="default" w:ascii="仿宋_GB2312" w:hAnsi="Calibri" w:cs="仿宋_GB2312"/>
          <w:bCs/>
          <w:lang w:bidi="ar"/>
        </w:rPr>
        <w:t>依据施工图纸要求，采购符合项目标准的材料并严格进场检验：</w:t>
      </w:r>
    </w:p>
    <w:p w14:paraId="7B8606AF">
      <w:pPr>
        <w:ind w:firstLine="480"/>
        <w:rPr>
          <w:rFonts w:hint="eastAsia" w:ascii="仿宋_GB2312" w:hAnsi="Calibri" w:eastAsia="仿宋_GB2312" w:cs="仿宋_GB2312"/>
          <w:bCs/>
          <w:lang w:eastAsia="zh-CN" w:bidi="ar"/>
        </w:rPr>
      </w:pPr>
      <w:r>
        <w:rPr>
          <w:rFonts w:hint="default" w:ascii="仿宋_GB2312" w:hAnsi="Calibri" w:cs="仿宋_GB2312"/>
          <w:bCs/>
          <w:lang w:bidi="ar"/>
        </w:rPr>
        <w:t>杆塔材料：根据选型准备对应规格的角钢塔/三管塔/单管塔</w:t>
      </w:r>
      <w:r>
        <w:rPr>
          <w:rFonts w:hint="eastAsia" w:ascii="仿宋_GB2312" w:hAnsi="Calibri" w:cs="仿宋_GB2312"/>
          <w:bCs/>
          <w:lang w:val="en-US" w:eastAsia="zh-CN" w:bidi="ar"/>
        </w:rPr>
        <w:t>支架</w:t>
      </w:r>
      <w:r>
        <w:rPr>
          <w:rFonts w:hint="default" w:ascii="仿宋_GB2312" w:hAnsi="Calibri" w:cs="仿宋_GB2312"/>
          <w:bCs/>
          <w:lang w:bidi="ar"/>
        </w:rPr>
        <w:t>构件，确保镀锌层厚度符合防腐要求</w:t>
      </w:r>
      <w:r>
        <w:rPr>
          <w:rFonts w:hint="eastAsia" w:ascii="仿宋_GB2312" w:hAnsi="Calibri" w:cs="仿宋_GB2312"/>
          <w:bCs/>
          <w:lang w:eastAsia="zh-CN" w:bidi="ar"/>
        </w:rPr>
        <w:t>。</w:t>
      </w:r>
    </w:p>
    <w:p w14:paraId="2CE895C5">
      <w:pPr>
        <w:ind w:firstLine="480"/>
        <w:rPr>
          <w:rFonts w:hint="eastAsia" w:ascii="仿宋_GB2312" w:hAnsi="Calibri" w:eastAsia="仿宋_GB2312" w:cs="仿宋_GB2312"/>
          <w:bCs/>
          <w:lang w:eastAsia="zh-CN" w:bidi="ar"/>
        </w:rPr>
      </w:pPr>
      <w:r>
        <w:rPr>
          <w:rFonts w:hint="default" w:ascii="仿宋_GB2312" w:hAnsi="Calibri" w:cs="仿宋_GB2312"/>
          <w:bCs/>
          <w:lang w:bidi="ar"/>
        </w:rPr>
        <w:t>基础材料：强度不低于C25的混凝土、HRB400级钢筋、预埋螺栓等</w:t>
      </w:r>
      <w:r>
        <w:rPr>
          <w:rFonts w:hint="eastAsia" w:ascii="仿宋_GB2312" w:hAnsi="Calibri" w:cs="仿宋_GB2312"/>
          <w:bCs/>
          <w:lang w:eastAsia="zh-CN" w:bidi="ar"/>
        </w:rPr>
        <w:t>。</w:t>
      </w:r>
    </w:p>
    <w:p w14:paraId="355A4F38">
      <w:pPr>
        <w:ind w:firstLine="480"/>
        <w:rPr>
          <w:rFonts w:hint="eastAsia" w:ascii="仿宋_GB2312" w:hAnsi="Calibri" w:eastAsia="仿宋_GB2312" w:cs="仿宋_GB2312"/>
          <w:bCs/>
          <w:lang w:eastAsia="zh-CN" w:bidi="ar"/>
        </w:rPr>
      </w:pPr>
      <w:r>
        <w:rPr>
          <w:rFonts w:hint="default" w:ascii="仿宋_GB2312" w:hAnsi="Calibri" w:cs="仿宋_GB2312"/>
          <w:bCs/>
          <w:lang w:bidi="ar"/>
        </w:rPr>
        <w:t>设备及辅材：一体化云台摄像机、</w:t>
      </w:r>
      <w:r>
        <w:rPr>
          <w:rFonts w:hint="eastAsia" w:ascii="仿宋_GB2312" w:hAnsi="Calibri" w:cs="仿宋_GB2312"/>
          <w:bCs/>
          <w:lang w:val="en-US" w:eastAsia="zh-CN" w:bidi="ar"/>
        </w:rPr>
        <w:t>定制支架</w:t>
      </w:r>
      <w:r>
        <w:rPr>
          <w:rFonts w:hint="default" w:ascii="仿宋_GB2312" w:hAnsi="Calibri" w:cs="仿宋_GB2312"/>
          <w:bCs/>
          <w:lang w:bidi="ar"/>
        </w:rPr>
        <w:t>、供电/控制线缆、光纤、防水密封胶、防雷接地组件等</w:t>
      </w:r>
      <w:r>
        <w:rPr>
          <w:rFonts w:hint="eastAsia" w:ascii="仿宋_GB2312" w:hAnsi="Calibri" w:cs="仿宋_GB2312"/>
          <w:bCs/>
          <w:lang w:eastAsia="zh-CN" w:bidi="ar"/>
        </w:rPr>
        <w:t>。</w:t>
      </w:r>
    </w:p>
    <w:p w14:paraId="06DDC7CA">
      <w:pPr>
        <w:ind w:firstLine="480"/>
        <w:rPr>
          <w:rFonts w:hint="eastAsia" w:ascii="仿宋_GB2312" w:hAnsi="Calibri" w:eastAsia="仿宋_GB2312" w:cs="仿宋_GB2312"/>
          <w:bCs/>
          <w:lang w:eastAsia="zh-CN" w:bidi="ar"/>
        </w:rPr>
      </w:pPr>
      <w:r>
        <w:rPr>
          <w:rFonts w:hint="default" w:ascii="仿宋_GB2312" w:hAnsi="Calibri" w:cs="仿宋_GB2312"/>
          <w:bCs/>
          <w:lang w:bidi="ar"/>
        </w:rPr>
        <w:t>所有材料需提供质量合格证明，关键设备需进行现场通电测试</w:t>
      </w:r>
      <w:r>
        <w:rPr>
          <w:rFonts w:hint="eastAsia" w:ascii="仿宋_GB2312" w:hAnsi="Calibri" w:cs="仿宋_GB2312"/>
          <w:bCs/>
          <w:lang w:eastAsia="zh-CN" w:bidi="ar"/>
        </w:rPr>
        <w:t>。</w:t>
      </w:r>
    </w:p>
    <w:p w14:paraId="450258D0">
      <w:pPr>
        <w:pStyle w:val="5"/>
        <w:rPr>
          <w:rFonts w:hint="default"/>
          <w:lang w:val="en-US" w:eastAsia="zh-CN"/>
        </w:rPr>
      </w:pPr>
      <w:r>
        <w:rPr>
          <w:rFonts w:hint="default"/>
          <w:lang w:val="en-US" w:eastAsia="zh-CN"/>
        </w:rPr>
        <w:t>设备安装与布线</w:t>
      </w:r>
    </w:p>
    <w:p w14:paraId="756BCA43">
      <w:pPr>
        <w:ind w:firstLine="480"/>
        <w:rPr>
          <w:rFonts w:hint="default" w:ascii="仿宋_GB2312" w:hAnsi="Calibri" w:cs="仿宋_GB2312"/>
          <w:bCs/>
          <w:lang w:bidi="ar"/>
        </w:rPr>
      </w:pPr>
      <w:r>
        <w:rPr>
          <w:rFonts w:hint="default" w:ascii="仿宋_GB2312" w:hAnsi="Calibri" w:cs="仿宋_GB2312"/>
          <w:bCs/>
          <w:lang w:bidi="ar"/>
        </w:rPr>
        <w:t>（1）</w:t>
      </w:r>
      <w:r>
        <w:rPr>
          <w:rFonts w:hint="eastAsia" w:ascii="仿宋_GB2312" w:hAnsi="Calibri" w:cs="仿宋_GB2312"/>
          <w:bCs/>
          <w:lang w:val="en-US" w:eastAsia="zh-CN" w:bidi="ar"/>
        </w:rPr>
        <w:t>设备</w:t>
      </w:r>
      <w:r>
        <w:rPr>
          <w:rFonts w:hint="default" w:ascii="仿宋_GB2312" w:hAnsi="Calibri" w:cs="仿宋_GB2312"/>
          <w:bCs/>
          <w:lang w:bidi="ar"/>
        </w:rPr>
        <w:t>安装</w:t>
      </w:r>
    </w:p>
    <w:p w14:paraId="37D060B9">
      <w:pPr>
        <w:ind w:firstLine="480"/>
        <w:rPr>
          <w:rFonts w:hint="default" w:ascii="仿宋_GB2312" w:hAnsi="Calibri" w:cs="仿宋_GB2312"/>
          <w:bCs/>
          <w:lang w:bidi="ar"/>
        </w:rPr>
      </w:pPr>
      <w:r>
        <w:rPr>
          <w:rFonts w:hint="default" w:ascii="仿宋_GB2312" w:hAnsi="Calibri" w:cs="仿宋_GB2312"/>
          <w:bCs/>
          <w:lang w:bidi="ar"/>
        </w:rPr>
        <w:t>待</w:t>
      </w:r>
      <w:r>
        <w:rPr>
          <w:rFonts w:hint="eastAsia" w:ascii="仿宋_GB2312" w:hAnsi="Calibri" w:cs="仿宋_GB2312"/>
          <w:bCs/>
          <w:lang w:val="en-US" w:eastAsia="zh-CN" w:bidi="ar"/>
        </w:rPr>
        <w:t>支臂</w:t>
      </w:r>
      <w:r>
        <w:rPr>
          <w:rFonts w:hint="default" w:ascii="仿宋_GB2312" w:hAnsi="Calibri" w:cs="仿宋_GB2312"/>
          <w:bCs/>
          <w:lang w:bidi="ar"/>
        </w:rPr>
        <w:t>固定牢固后，进行云台设备安装：</w:t>
      </w:r>
    </w:p>
    <w:p w14:paraId="38E53C1E">
      <w:pPr>
        <w:ind w:firstLine="480"/>
        <w:rPr>
          <w:rFonts w:hint="eastAsia" w:ascii="仿宋_GB2312" w:hAnsi="Calibri" w:eastAsia="仿宋_GB2312" w:cs="仿宋_GB2312"/>
          <w:bCs/>
          <w:lang w:eastAsia="zh-CN" w:bidi="ar"/>
        </w:rPr>
      </w:pPr>
      <w:r>
        <w:rPr>
          <w:rFonts w:hint="default" w:ascii="仿宋_GB2312" w:hAnsi="Calibri" w:cs="仿宋_GB2312"/>
          <w:bCs/>
          <w:lang w:bidi="ar"/>
        </w:rPr>
        <w:t>采用专用吊装工具将一体化云台</w:t>
      </w:r>
      <w:r>
        <w:rPr>
          <w:rFonts w:hint="eastAsia" w:ascii="仿宋_GB2312" w:hAnsi="Calibri" w:cs="仿宋_GB2312"/>
          <w:bCs/>
          <w:lang w:val="en-US" w:eastAsia="zh-CN" w:bidi="ar"/>
        </w:rPr>
        <w:t>摄像机</w:t>
      </w:r>
      <w:r>
        <w:rPr>
          <w:rFonts w:hint="default" w:ascii="仿宋_GB2312" w:hAnsi="Calibri" w:cs="仿宋_GB2312"/>
          <w:bCs/>
          <w:lang w:bidi="ar"/>
        </w:rPr>
        <w:t>（区分I型和Ⅱ型）吊装至杆塔顶端，与固定法兰精准对接，紧固连接螺栓</w:t>
      </w:r>
      <w:r>
        <w:rPr>
          <w:rFonts w:hint="eastAsia" w:ascii="仿宋_GB2312" w:hAnsi="Calibri" w:cs="仿宋_GB2312"/>
          <w:bCs/>
          <w:lang w:eastAsia="zh-CN" w:bidi="ar"/>
        </w:rPr>
        <w:t>；</w:t>
      </w:r>
    </w:p>
    <w:p w14:paraId="0761CA76">
      <w:pPr>
        <w:ind w:firstLine="480"/>
        <w:rPr>
          <w:rFonts w:hint="eastAsia" w:ascii="仿宋_GB2312" w:hAnsi="Calibri" w:eastAsia="仿宋_GB2312" w:cs="仿宋_GB2312"/>
          <w:bCs/>
          <w:lang w:eastAsia="zh-CN" w:bidi="ar"/>
        </w:rPr>
      </w:pPr>
      <w:r>
        <w:rPr>
          <w:rFonts w:hint="default" w:ascii="仿宋_GB2312" w:hAnsi="Calibri" w:cs="仿宋_GB2312"/>
          <w:bCs/>
          <w:lang w:bidi="ar"/>
        </w:rPr>
        <w:t>安装过程中校准云台水平度，确保云台旋转、俯仰动作无卡滞，限位功能正常</w:t>
      </w:r>
      <w:r>
        <w:rPr>
          <w:rFonts w:hint="eastAsia" w:ascii="仿宋_GB2312" w:hAnsi="Calibri" w:cs="仿宋_GB2312"/>
          <w:bCs/>
          <w:lang w:eastAsia="zh-CN" w:bidi="ar"/>
        </w:rPr>
        <w:t>；</w:t>
      </w:r>
    </w:p>
    <w:p w14:paraId="2AC94359">
      <w:pPr>
        <w:ind w:firstLine="480"/>
        <w:rPr>
          <w:rFonts w:hint="eastAsia" w:ascii="仿宋_GB2312" w:hAnsi="Calibri" w:eastAsia="仿宋_GB2312" w:cs="仿宋_GB2312"/>
          <w:bCs/>
          <w:lang w:eastAsia="zh-CN" w:bidi="ar"/>
        </w:rPr>
      </w:pPr>
      <w:r>
        <w:rPr>
          <w:rFonts w:hint="default" w:ascii="仿宋_GB2312" w:hAnsi="Calibri" w:cs="仿宋_GB2312"/>
          <w:bCs/>
          <w:lang w:bidi="ar"/>
        </w:rPr>
        <w:t>根据点位监控需求，调整云台初始监控角度，确保覆盖预设的高风险林区范围</w:t>
      </w:r>
      <w:r>
        <w:rPr>
          <w:rFonts w:hint="eastAsia" w:ascii="仿宋_GB2312" w:hAnsi="Calibri" w:cs="仿宋_GB2312"/>
          <w:bCs/>
          <w:lang w:eastAsia="zh-CN" w:bidi="ar"/>
        </w:rPr>
        <w:t>。</w:t>
      </w:r>
    </w:p>
    <w:p w14:paraId="43F236A5">
      <w:pPr>
        <w:ind w:firstLine="480"/>
        <w:rPr>
          <w:rFonts w:hint="default" w:ascii="仿宋_GB2312" w:hAnsi="Calibri" w:cs="仿宋_GB2312"/>
          <w:bCs/>
          <w:lang w:val="en-US" w:eastAsia="zh-CN" w:bidi="ar"/>
        </w:rPr>
      </w:pPr>
      <w:r>
        <w:rPr>
          <w:rFonts w:hint="eastAsia" w:ascii="仿宋_GB2312" w:hAnsi="Calibri" w:cs="仿宋_GB2312"/>
          <w:bCs/>
          <w:lang w:val="en-US" w:eastAsia="zh-CN" w:bidi="ar"/>
        </w:rPr>
        <w:t>（2）</w:t>
      </w:r>
      <w:r>
        <w:rPr>
          <w:rFonts w:hint="default" w:ascii="仿宋_GB2312" w:hAnsi="Calibri" w:cs="仿宋_GB2312"/>
          <w:bCs/>
          <w:lang w:val="en-US" w:eastAsia="zh-CN" w:bidi="ar"/>
        </w:rPr>
        <w:t>布线</w:t>
      </w:r>
    </w:p>
    <w:p w14:paraId="3F555753">
      <w:pPr>
        <w:numPr>
          <w:ilvl w:val="0"/>
          <w:numId w:val="0"/>
        </w:numPr>
        <w:ind w:firstLine="480" w:firstLineChars="200"/>
        <w:rPr>
          <w:rFonts w:hint="default" w:ascii="仿宋_GB2312" w:hAnsi="Calibri" w:cs="仿宋_GB2312"/>
          <w:bCs/>
          <w:lang w:bidi="ar"/>
        </w:rPr>
      </w:pPr>
      <w:r>
        <w:rPr>
          <w:rFonts w:hint="default" w:ascii="仿宋_GB2312" w:hAnsi="Calibri" w:cs="仿宋_GB2312"/>
          <w:bCs/>
          <w:lang w:bidi="ar"/>
        </w:rPr>
        <w:t>严格按照线缆走向规划实施布线：</w:t>
      </w:r>
    </w:p>
    <w:p w14:paraId="79CA9D60">
      <w:pPr>
        <w:ind w:firstLine="480"/>
        <w:rPr>
          <w:rFonts w:hint="eastAsia" w:ascii="仿宋_GB2312" w:hAnsi="Calibri" w:eastAsia="仿宋_GB2312" w:cs="仿宋_GB2312"/>
          <w:bCs/>
          <w:lang w:eastAsia="zh-CN" w:bidi="ar"/>
        </w:rPr>
      </w:pPr>
      <w:r>
        <w:rPr>
          <w:rFonts w:hint="default" w:ascii="仿宋_GB2312" w:hAnsi="Calibri" w:cs="仿宋_GB2312"/>
          <w:bCs/>
          <w:lang w:bidi="ar"/>
        </w:rPr>
        <w:t>供电线缆、控制线缆和光纤分别穿管防护，沿杆塔内部或专用线缆沟敷设，避免交叉缠绕</w:t>
      </w:r>
      <w:r>
        <w:rPr>
          <w:rFonts w:hint="eastAsia" w:ascii="仿宋_GB2312" w:hAnsi="Calibri" w:cs="仿宋_GB2312"/>
          <w:bCs/>
          <w:lang w:eastAsia="zh-CN" w:bidi="ar"/>
        </w:rPr>
        <w:t>；</w:t>
      </w:r>
    </w:p>
    <w:p w14:paraId="47763743">
      <w:pPr>
        <w:ind w:firstLine="480"/>
        <w:rPr>
          <w:rFonts w:hint="eastAsia" w:ascii="仿宋_GB2312" w:hAnsi="Calibri" w:eastAsia="仿宋_GB2312" w:cs="仿宋_GB2312"/>
          <w:bCs/>
          <w:lang w:eastAsia="zh-CN" w:bidi="ar"/>
        </w:rPr>
      </w:pPr>
      <w:r>
        <w:rPr>
          <w:rFonts w:hint="default" w:ascii="仿宋_GB2312" w:hAnsi="Calibri" w:cs="仿宋_GB2312"/>
          <w:bCs/>
          <w:lang w:bidi="ar"/>
        </w:rPr>
        <w:t>完成布线后，逐一测试云台供电、控制信号传输及光纤通信功能，确保设备正常运行</w:t>
      </w:r>
      <w:r>
        <w:rPr>
          <w:rFonts w:hint="eastAsia" w:ascii="仿宋_GB2312" w:hAnsi="Calibri" w:cs="仿宋_GB2312"/>
          <w:bCs/>
          <w:lang w:eastAsia="zh-CN" w:bidi="ar"/>
        </w:rPr>
        <w:t>。</w:t>
      </w:r>
    </w:p>
    <w:p w14:paraId="4228DA0C">
      <w:pPr>
        <w:pStyle w:val="5"/>
        <w:rPr>
          <w:lang w:val="en-US"/>
        </w:rPr>
      </w:pPr>
      <w:r>
        <w:rPr>
          <w:rFonts w:hint="eastAsia"/>
          <w:lang w:val="en-US"/>
        </w:rPr>
        <w:t>施工图纸</w:t>
      </w:r>
    </w:p>
    <w:p w14:paraId="122C314F">
      <w:pPr>
        <w:spacing w:line="240" w:lineRule="auto"/>
        <w:ind w:firstLine="0" w:firstLineChars="0"/>
        <w:rPr>
          <w:rFonts w:hint="eastAsia" w:eastAsia="仿宋_GB2312"/>
          <w:lang w:val="en-US" w:eastAsia="zh-CN"/>
        </w:rPr>
      </w:pPr>
      <w:r>
        <w:rPr>
          <w:rFonts w:hint="eastAsia" w:eastAsia="仿宋_GB2312"/>
          <w:lang w:val="en-US" w:eastAsia="zh-CN"/>
        </w:rPr>
        <w:drawing>
          <wp:inline distT="0" distB="0" distL="114300" distR="114300">
            <wp:extent cx="5218430" cy="3688715"/>
            <wp:effectExtent l="0" t="0" r="8890" b="14605"/>
            <wp:docPr id="74" name="图片 74" descr="一体化云台摄像机安装示意图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一体化云台摄像机安装示意图_01"/>
                    <pic:cNvPicPr>
                      <a:picLocks noChangeAspect="1"/>
                    </pic:cNvPicPr>
                  </pic:nvPicPr>
                  <pic:blipFill>
                    <a:blip r:embed="rId72"/>
                    <a:stretch>
                      <a:fillRect/>
                    </a:stretch>
                  </pic:blipFill>
                  <pic:spPr>
                    <a:xfrm>
                      <a:off x="0" y="0"/>
                      <a:ext cx="5218430" cy="3688715"/>
                    </a:xfrm>
                    <a:prstGeom prst="rect">
                      <a:avLst/>
                    </a:prstGeom>
                  </pic:spPr>
                </pic:pic>
              </a:graphicData>
            </a:graphic>
          </wp:inline>
        </w:drawing>
      </w:r>
    </w:p>
    <w:p w14:paraId="20BC368D">
      <w:pPr>
        <w:spacing w:line="240" w:lineRule="auto"/>
        <w:ind w:firstLine="0" w:firstLineChars="0"/>
        <w:rPr>
          <w:rFonts w:hint="eastAsia"/>
          <w:lang w:val="en-US"/>
        </w:rPr>
      </w:pPr>
      <w:r>
        <w:rPr>
          <w:rFonts w:hint="eastAsia" w:eastAsia="仿宋_GB2312"/>
          <w:lang w:val="en-US" w:eastAsia="zh-CN"/>
        </w:rPr>
        <w:drawing>
          <wp:inline distT="0" distB="0" distL="114300" distR="114300">
            <wp:extent cx="5218430" cy="3688715"/>
            <wp:effectExtent l="0" t="0" r="8890" b="14605"/>
            <wp:docPr id="75" name="图片 75" descr="一体化云台摄像机安装示意图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descr="一体化云台摄像机安装示意图_02"/>
                    <pic:cNvPicPr>
                      <a:picLocks noChangeAspect="1"/>
                    </pic:cNvPicPr>
                  </pic:nvPicPr>
                  <pic:blipFill>
                    <a:blip r:embed="rId73"/>
                    <a:stretch>
                      <a:fillRect/>
                    </a:stretch>
                  </pic:blipFill>
                  <pic:spPr>
                    <a:xfrm>
                      <a:off x="0" y="0"/>
                      <a:ext cx="5218430" cy="3688715"/>
                    </a:xfrm>
                    <a:prstGeom prst="rect">
                      <a:avLst/>
                    </a:prstGeom>
                  </pic:spPr>
                </pic:pic>
              </a:graphicData>
            </a:graphic>
          </wp:inline>
        </w:drawing>
      </w:r>
    </w:p>
    <w:p w14:paraId="61949423">
      <w:pPr>
        <w:spacing w:line="240" w:lineRule="auto"/>
        <w:ind w:firstLine="0" w:firstLineChars="0"/>
        <w:rPr>
          <w:rFonts w:hint="eastAsia"/>
          <w:lang w:val="en-US"/>
        </w:rPr>
      </w:pPr>
    </w:p>
    <w:p w14:paraId="75B7E87D">
      <w:pPr>
        <w:pStyle w:val="4"/>
        <w:rPr>
          <w:rFonts w:hint="eastAsia"/>
          <w:lang w:val="en-US"/>
        </w:rPr>
      </w:pPr>
      <w:bookmarkStart w:id="224" w:name="_Toc5866"/>
      <w:r>
        <w:rPr>
          <w:lang w:val="en-US"/>
        </w:rPr>
        <w:t>数字超短波固定基站</w:t>
      </w:r>
      <w:bookmarkEnd w:id="224"/>
    </w:p>
    <w:p w14:paraId="5C5DE188">
      <w:pPr>
        <w:pStyle w:val="5"/>
        <w:rPr>
          <w:rFonts w:hint="eastAsia"/>
          <w:lang w:val="en-US" w:eastAsia="zh-CN"/>
        </w:rPr>
      </w:pPr>
      <w:r>
        <w:rPr>
          <w:rFonts w:hint="default"/>
          <w:lang w:val="en-US" w:eastAsia="zh-CN"/>
        </w:rPr>
        <w:t>安装前准备</w:t>
      </w:r>
    </w:p>
    <w:p w14:paraId="2A922328">
      <w:pPr>
        <w:ind w:firstLine="480"/>
        <w:rPr>
          <w:rFonts w:hint="default" w:ascii="仿宋_GB2312" w:hAnsi="Calibri" w:cs="仿宋_GB2312"/>
          <w:bCs/>
          <w:lang w:bidi="ar"/>
        </w:rPr>
      </w:pPr>
      <w:r>
        <w:rPr>
          <w:rFonts w:hint="eastAsia" w:ascii="仿宋_GB2312" w:hAnsi="Calibri" w:cs="仿宋_GB2312"/>
          <w:bCs/>
          <w:lang w:val="en-US" w:eastAsia="zh-CN" w:bidi="ar"/>
        </w:rPr>
        <w:t>1.</w:t>
      </w:r>
      <w:r>
        <w:rPr>
          <w:rFonts w:hint="default" w:ascii="仿宋_GB2312" w:hAnsi="Calibri" w:cs="仿宋_GB2312"/>
          <w:bCs/>
          <w:lang w:bidi="ar"/>
        </w:rPr>
        <w:t>人员资质与设备检查</w:t>
      </w:r>
    </w:p>
    <w:p w14:paraId="41B9147F">
      <w:pPr>
        <w:ind w:firstLine="480"/>
        <w:rPr>
          <w:rFonts w:ascii="仿宋_GB2312" w:hAnsi="Calibri" w:cs="仿宋_GB2312"/>
          <w:bCs/>
          <w:lang w:bidi="ar"/>
        </w:rPr>
      </w:pPr>
      <w:r>
        <w:rPr>
          <w:rFonts w:hint="default" w:ascii="仿宋_GB2312" w:hAnsi="Calibri" w:cs="仿宋_GB2312"/>
          <w:bCs/>
          <w:lang w:bidi="ar"/>
        </w:rPr>
        <w:t>人员要求：施工人员需具备通信设备安装相关专业知识，熟悉无线自组网系统原理与操作流程，持有电工证等相关特种作业操作证，且经过对应型号设备安装专项培训。</w:t>
      </w:r>
    </w:p>
    <w:p w14:paraId="064476A3">
      <w:pPr>
        <w:ind w:firstLine="480"/>
        <w:rPr>
          <w:rFonts w:ascii="仿宋_GB2312" w:hAnsi="Calibri" w:cs="仿宋_GB2312"/>
          <w:bCs/>
          <w:lang w:bidi="ar"/>
        </w:rPr>
      </w:pPr>
      <w:r>
        <w:rPr>
          <w:rFonts w:hint="default" w:ascii="仿宋_GB2312" w:hAnsi="Calibri" w:cs="仿宋_GB2312"/>
          <w:bCs/>
          <w:lang w:bidi="ar"/>
        </w:rPr>
        <w:t>设备清点：根据设备装箱单逐一清点主机、机箱、太阳能板、卫星天线、蓄电池等标准配件，检查设备外观是否完好，配件是否齐全，若有缺失或损坏及时联系供货商。同时核对主机标签上的型号、工作频段、SN码等信息，确保与采购需求一致。</w:t>
      </w:r>
    </w:p>
    <w:p w14:paraId="36CDBDDE">
      <w:pPr>
        <w:ind w:firstLine="480"/>
        <w:rPr>
          <w:rFonts w:ascii="仿宋_GB2312" w:hAnsi="Calibri" w:cs="仿宋_GB2312"/>
          <w:bCs/>
          <w:lang w:bidi="ar"/>
        </w:rPr>
      </w:pPr>
      <w:r>
        <w:rPr>
          <w:rFonts w:hint="default" w:ascii="仿宋_GB2312" w:hAnsi="Calibri" w:cs="仿宋_GB2312"/>
          <w:bCs/>
          <w:lang w:bidi="ar"/>
        </w:rPr>
        <w:t>工具准备：准备内六角螺丝刀、扳手、万用表、场强仪、冲击钻、防水胶带、密封胶泥等安装工具，以及用于天线安装的拉绳、地钉等加固工具。</w:t>
      </w:r>
    </w:p>
    <w:p w14:paraId="225B002B">
      <w:pPr>
        <w:ind w:firstLine="480"/>
        <w:rPr>
          <w:rFonts w:hint="default" w:ascii="仿宋_GB2312" w:hAnsi="Calibri" w:cs="仿宋_GB2312"/>
          <w:bCs/>
          <w:lang w:bidi="ar"/>
        </w:rPr>
      </w:pPr>
      <w:r>
        <w:rPr>
          <w:rFonts w:hint="eastAsia" w:ascii="仿宋_GB2312" w:hAnsi="Calibri" w:cs="仿宋_GB2312"/>
          <w:bCs/>
          <w:lang w:val="en-US" w:eastAsia="zh-CN" w:bidi="ar"/>
        </w:rPr>
        <w:t>2.</w:t>
      </w:r>
      <w:r>
        <w:rPr>
          <w:rFonts w:hint="default" w:ascii="仿宋_GB2312" w:hAnsi="Calibri" w:cs="仿宋_GB2312"/>
          <w:bCs/>
          <w:lang w:bidi="ar"/>
        </w:rPr>
        <w:t>现场勘查与选址</w:t>
      </w:r>
    </w:p>
    <w:p w14:paraId="18469F3C">
      <w:pPr>
        <w:ind w:firstLine="480"/>
        <w:rPr>
          <w:rFonts w:ascii="仿宋_GB2312" w:hAnsi="Calibri" w:cs="仿宋_GB2312"/>
          <w:bCs/>
          <w:lang w:bidi="ar"/>
        </w:rPr>
      </w:pPr>
      <w:r>
        <w:rPr>
          <w:rFonts w:hint="default" w:ascii="仿宋_GB2312" w:hAnsi="Calibri" w:cs="仿宋_GB2312"/>
          <w:bCs/>
          <w:lang w:bidi="ar"/>
        </w:rPr>
        <w:t>环境评估：安装地点应远离加油站、油库、危化品仓库等危险源，避免在有易燃物场地、移动物体表面、雷击区、易发生灾害场地、化工厂及化粪池下风处、海水易浸没或海浪飞溅区域安装。安装场地海拔不高于4000米，历年气温范围在-20℃至55℃，工作湿度20% - 80%，无明显生物破坏因素。</w:t>
      </w:r>
    </w:p>
    <w:p w14:paraId="0163877E">
      <w:pPr>
        <w:ind w:firstLine="480"/>
        <w:rPr>
          <w:rFonts w:ascii="仿宋_GB2312" w:hAnsi="Calibri" w:cs="仿宋_GB2312"/>
          <w:bCs/>
          <w:lang w:bidi="ar"/>
        </w:rPr>
      </w:pPr>
      <w:r>
        <w:rPr>
          <w:rFonts w:hint="default" w:ascii="仿宋_GB2312" w:hAnsi="Calibri" w:cs="仿宋_GB2312"/>
          <w:bCs/>
          <w:lang w:bidi="ar"/>
        </w:rPr>
        <w:t>信号覆盖分析：选择无明显信号遮挡的场地，保证地面高度角20°范围内避开建筑物、山丘或其他障碍物的遮挡。</w:t>
      </w:r>
    </w:p>
    <w:p w14:paraId="05AF33CD">
      <w:pPr>
        <w:ind w:firstLine="480"/>
        <w:rPr>
          <w:rFonts w:ascii="仿宋_GB2312" w:hAnsi="Calibri" w:cs="仿宋_GB2312"/>
          <w:bCs/>
          <w:lang w:bidi="ar"/>
        </w:rPr>
      </w:pPr>
      <w:r>
        <w:rPr>
          <w:rFonts w:hint="default" w:ascii="仿宋_GB2312" w:hAnsi="Calibri" w:cs="仿宋_GB2312"/>
          <w:bCs/>
          <w:lang w:bidi="ar"/>
        </w:rPr>
        <w:t>基础设施检查：检查安装地点的供电、网络、接地等基础设施情况。若使用太阳能供电，需确保太阳能板安装位置阳光充足且无遮挡；若使用市电供电，检查市电电压是否稳定，是否满足设备工作要求。网络方面，若选择有线网络，需检查布线距离和线缆规格；若选择无线网络，需确认运营商4G/5G网络覆盖良好。</w:t>
      </w:r>
    </w:p>
    <w:p w14:paraId="5E12C048">
      <w:pPr>
        <w:pStyle w:val="5"/>
        <w:rPr>
          <w:rFonts w:hint="default"/>
          <w:lang w:val="en-US" w:eastAsia="zh-CN"/>
        </w:rPr>
      </w:pPr>
      <w:r>
        <w:rPr>
          <w:rFonts w:hint="default"/>
          <w:lang w:val="en-US" w:eastAsia="zh-CN"/>
        </w:rPr>
        <w:t>设备安装</w:t>
      </w:r>
    </w:p>
    <w:p w14:paraId="2F70D096">
      <w:pPr>
        <w:ind w:firstLine="480"/>
        <w:rPr>
          <w:rFonts w:hint="default" w:ascii="仿宋_GB2312" w:hAnsi="Calibri" w:cs="仿宋_GB2312"/>
          <w:bCs/>
          <w:lang w:bidi="ar"/>
        </w:rPr>
      </w:pPr>
      <w:r>
        <w:rPr>
          <w:rFonts w:hint="default" w:ascii="仿宋_GB2312" w:hAnsi="Calibri" w:cs="仿宋_GB2312"/>
          <w:bCs/>
          <w:lang w:bidi="ar"/>
        </w:rPr>
        <w:t>共用现有设施相关防雷设施设备，设备与接地体通过线缆连接，确保接地可靠。使用接地电阻仪测量接地电阻，确保小于10Ω。</w:t>
      </w:r>
    </w:p>
    <w:p w14:paraId="688883EA">
      <w:pPr>
        <w:ind w:firstLine="480"/>
        <w:rPr>
          <w:rFonts w:hint="default" w:ascii="仿宋_GB2312" w:hAnsi="Calibri" w:cs="仿宋_GB2312"/>
          <w:bCs/>
          <w:lang w:bidi="ar"/>
        </w:rPr>
      </w:pPr>
      <w:r>
        <w:rPr>
          <w:rFonts w:hint="eastAsia" w:ascii="仿宋_GB2312" w:hAnsi="Calibri" w:cs="仿宋_GB2312"/>
          <w:bCs/>
          <w:lang w:val="en-US" w:eastAsia="zh-CN" w:bidi="ar"/>
        </w:rPr>
        <w:t>1.</w:t>
      </w:r>
      <w:r>
        <w:rPr>
          <w:rFonts w:hint="default" w:ascii="仿宋_GB2312" w:hAnsi="Calibri" w:cs="仿宋_GB2312"/>
          <w:bCs/>
          <w:lang w:bidi="ar"/>
        </w:rPr>
        <w:t>天线安装</w:t>
      </w:r>
    </w:p>
    <w:p w14:paraId="55CD6899">
      <w:pPr>
        <w:ind w:firstLine="480"/>
        <w:rPr>
          <w:rFonts w:ascii="仿宋_GB2312" w:hAnsi="Calibri" w:cs="仿宋_GB2312"/>
          <w:bCs/>
          <w:lang w:bidi="ar"/>
        </w:rPr>
      </w:pPr>
      <w:r>
        <w:rPr>
          <w:rFonts w:hint="default" w:ascii="仿宋_GB2312" w:hAnsi="Calibri" w:cs="仿宋_GB2312"/>
          <w:bCs/>
          <w:lang w:bidi="ar"/>
        </w:rPr>
        <w:t>天线架设：选择较高位置安装天线，避开建筑物、山丘等障碍物遮挡，保持垂直安装以实现360°水平覆盖，避免倾斜导致覆盖不均。天线馈线接延长线，通过基站机柜过线孔伸入机箱内，确保连接牢固，做好防水处理。在风力较大地区，采用拉绳、地钉等方式加固天线支撑结构。</w:t>
      </w:r>
    </w:p>
    <w:p w14:paraId="7EC96693">
      <w:pPr>
        <w:ind w:firstLine="480"/>
        <w:rPr>
          <w:rFonts w:ascii="仿宋_GB2312" w:hAnsi="Calibri" w:cs="仿宋_GB2312"/>
          <w:bCs/>
          <w:lang w:bidi="ar"/>
        </w:rPr>
      </w:pPr>
      <w:r>
        <w:rPr>
          <w:rFonts w:hint="default" w:ascii="仿宋_GB2312" w:hAnsi="Calibri" w:cs="仿宋_GB2312"/>
          <w:bCs/>
          <w:lang w:bidi="ar"/>
        </w:rPr>
        <w:t>天馈线调试：主机面板上射频天线接口出厂时已连接双工器并调试完毕，请勿轻易改动接线或更换双工器。安装完成后，使用场强仪测试信号强度，确保收发频率无显著外部干扰，驻波比正常。若发现驻波比异常，排查阻抗不匹配、连接不良或线路损坏等问题，及时更换或维修天线、馈线。</w:t>
      </w:r>
    </w:p>
    <w:p w14:paraId="438ED246">
      <w:pPr>
        <w:ind w:firstLine="480"/>
        <w:rPr>
          <w:rFonts w:hint="default" w:ascii="仿宋_GB2312" w:hAnsi="Calibri" w:cs="仿宋_GB2312"/>
          <w:bCs/>
          <w:lang w:bidi="ar"/>
        </w:rPr>
      </w:pPr>
      <w:r>
        <w:rPr>
          <w:rFonts w:hint="eastAsia" w:ascii="仿宋_GB2312" w:hAnsi="Calibri" w:cs="仿宋_GB2312"/>
          <w:bCs/>
          <w:lang w:val="en-US" w:eastAsia="zh-CN" w:bidi="ar"/>
        </w:rPr>
        <w:t>2.</w:t>
      </w:r>
      <w:r>
        <w:rPr>
          <w:rFonts w:hint="default" w:ascii="仿宋_GB2312" w:hAnsi="Calibri" w:cs="仿宋_GB2312"/>
          <w:bCs/>
          <w:lang w:bidi="ar"/>
        </w:rPr>
        <w:t>机箱与主机安装</w:t>
      </w:r>
    </w:p>
    <w:p w14:paraId="5EDDB6E3">
      <w:pPr>
        <w:ind w:firstLine="480"/>
        <w:rPr>
          <w:rFonts w:ascii="仿宋_GB2312" w:hAnsi="Calibri" w:cs="仿宋_GB2312"/>
          <w:bCs/>
          <w:lang w:bidi="ar"/>
        </w:rPr>
      </w:pPr>
      <w:r>
        <w:rPr>
          <w:rFonts w:hint="default" w:ascii="仿宋_GB2312" w:hAnsi="Calibri" w:cs="仿宋_GB2312"/>
          <w:bCs/>
          <w:lang w:bidi="ar"/>
        </w:rPr>
        <w:t>机箱固定：将机箱安装固定，确保牢固稳定，做好防水密闭工作，防止雨水侵入。在机箱内放置防虫药物，防止昆虫滋生。户外架站时，在显眼处增加警示标识。</w:t>
      </w:r>
    </w:p>
    <w:p w14:paraId="63EE9D30">
      <w:pPr>
        <w:ind w:firstLine="480"/>
        <w:rPr>
          <w:rFonts w:ascii="仿宋_GB2312" w:hAnsi="Calibri" w:cs="仿宋_GB2312"/>
          <w:bCs/>
          <w:lang w:bidi="ar"/>
        </w:rPr>
      </w:pPr>
      <w:r>
        <w:rPr>
          <w:rFonts w:hint="default" w:ascii="仿宋_GB2312" w:hAnsi="Calibri" w:cs="仿宋_GB2312"/>
          <w:bCs/>
          <w:lang w:bidi="ar"/>
        </w:rPr>
        <w:t>主机安装：将主机放入机箱内，连接电源、网线、接地线等线缆。主机与机箱之间做好固定，避免晃动影响设备正常运行。</w:t>
      </w:r>
    </w:p>
    <w:p w14:paraId="363EA4B3">
      <w:pPr>
        <w:ind w:firstLine="480"/>
        <w:rPr>
          <w:rFonts w:hint="default" w:ascii="仿宋_GB2312" w:hAnsi="Calibri" w:cs="仿宋_GB2312"/>
          <w:bCs/>
          <w:lang w:bidi="ar"/>
        </w:rPr>
      </w:pPr>
      <w:r>
        <w:rPr>
          <w:rFonts w:hint="eastAsia" w:ascii="仿宋_GB2312" w:hAnsi="Calibri" w:cs="仿宋_GB2312"/>
          <w:bCs/>
          <w:lang w:val="en-US" w:eastAsia="zh-CN" w:bidi="ar"/>
        </w:rPr>
        <w:t>3.</w:t>
      </w:r>
      <w:r>
        <w:rPr>
          <w:rFonts w:hint="default" w:ascii="仿宋_GB2312" w:hAnsi="Calibri" w:cs="仿宋_GB2312"/>
          <w:bCs/>
          <w:lang w:bidi="ar"/>
        </w:rPr>
        <w:t>电源与网络连接</w:t>
      </w:r>
    </w:p>
    <w:p w14:paraId="14D35B94">
      <w:pPr>
        <w:ind w:firstLine="480"/>
        <w:rPr>
          <w:rFonts w:ascii="仿宋_GB2312" w:hAnsi="Calibri" w:cs="仿宋_GB2312"/>
          <w:bCs/>
          <w:lang w:bidi="ar"/>
        </w:rPr>
      </w:pPr>
      <w:r>
        <w:rPr>
          <w:rFonts w:hint="default" w:ascii="仿宋_GB2312" w:hAnsi="Calibri" w:cs="仿宋_GB2312"/>
          <w:bCs/>
          <w:lang w:bidi="ar"/>
        </w:rPr>
        <w:t>太阳能供电安装：将太阳能板安装在阳光充足且无遮挡位置，根据当地纬度调整倾斜角度，北半球朝南安装，南半球朝北安装。太阳能板线缆通过基站机柜过线孔伸入机箱内，连接至主机太阳能供电口。定期清洁太阳能板表面，根据季节调整倾斜角度，确保发电效率。</w:t>
      </w:r>
    </w:p>
    <w:p w14:paraId="461EB970">
      <w:pPr>
        <w:ind w:firstLine="480"/>
        <w:rPr>
          <w:rFonts w:ascii="仿宋_GB2312" w:hAnsi="Calibri" w:cs="仿宋_GB2312"/>
          <w:bCs/>
          <w:lang w:bidi="ar"/>
        </w:rPr>
      </w:pPr>
      <w:r>
        <w:rPr>
          <w:rFonts w:hint="default" w:ascii="仿宋_GB2312" w:hAnsi="Calibri" w:cs="仿宋_GB2312"/>
          <w:bCs/>
          <w:lang w:bidi="ar"/>
        </w:rPr>
        <w:t>市电供电安装：若使用市电供电，在用户配电箱内安装独立漏电断路器和浪涌保护装置，选择合适规格的电缆，确保供电稳定。电缆末端压接针型端子，通过防水配电箱为设备供电。防水配电箱下端离地500mm以上并妥善固定，安装在靠近设备连线一侧，距设备1m以上，引入线和引出线穿管埋地，连接处做好防水密闭处理。</w:t>
      </w:r>
    </w:p>
    <w:p w14:paraId="3075195E">
      <w:pPr>
        <w:ind w:firstLine="480"/>
        <w:rPr>
          <w:rFonts w:ascii="仿宋_GB2312" w:hAnsi="Calibri" w:cs="仿宋_GB2312"/>
          <w:bCs/>
          <w:lang w:bidi="ar"/>
        </w:rPr>
      </w:pPr>
      <w:r>
        <w:rPr>
          <w:rFonts w:hint="default" w:ascii="仿宋_GB2312" w:hAnsi="Calibri" w:cs="仿宋_GB2312"/>
          <w:bCs/>
          <w:lang w:bidi="ar"/>
        </w:rPr>
        <w:t>网络连接：安装前确认运营商4G/5G网络覆盖良好，测试最低上传速率20Mbps，提前选择合适流量套餐。</w:t>
      </w:r>
    </w:p>
    <w:p w14:paraId="721DB38A">
      <w:pPr>
        <w:ind w:firstLine="480"/>
        <w:rPr>
          <w:rFonts w:hint="default" w:ascii="仿宋_GB2312" w:hAnsi="Calibri" w:cs="仿宋_GB2312"/>
          <w:bCs/>
          <w:lang w:bidi="ar"/>
        </w:rPr>
      </w:pPr>
      <w:r>
        <w:rPr>
          <w:rFonts w:hint="eastAsia" w:ascii="仿宋_GB2312" w:hAnsi="Calibri" w:cs="仿宋_GB2312"/>
          <w:bCs/>
          <w:lang w:val="en-US" w:eastAsia="zh-CN" w:bidi="ar"/>
        </w:rPr>
        <w:t>4.</w:t>
      </w:r>
      <w:r>
        <w:rPr>
          <w:rFonts w:hint="default" w:ascii="仿宋_GB2312" w:hAnsi="Calibri" w:cs="仿宋_GB2312"/>
          <w:bCs/>
          <w:lang w:bidi="ar"/>
        </w:rPr>
        <w:t>配件安装与调试</w:t>
      </w:r>
    </w:p>
    <w:p w14:paraId="4439FA5D">
      <w:pPr>
        <w:ind w:firstLine="480"/>
        <w:rPr>
          <w:rFonts w:ascii="仿宋_GB2312" w:hAnsi="Calibri" w:cs="仿宋_GB2312"/>
          <w:bCs/>
          <w:lang w:bidi="ar"/>
        </w:rPr>
      </w:pPr>
      <w:r>
        <w:rPr>
          <w:rFonts w:hint="default" w:ascii="仿宋_GB2312" w:hAnsi="Calibri" w:cs="仿宋_GB2312"/>
          <w:bCs/>
          <w:lang w:bidi="ar"/>
        </w:rPr>
        <w:t>公网管理配件安装：安装公网管理定向天线，将天线接口连接至主机公网天线接口，插入SIM卡（芯片朝下），确保安装牢固。调整定向天线方向，精确对准目标方向，以获得最佳公网信号强度，便于远程监控和管理基站。</w:t>
      </w:r>
    </w:p>
    <w:p w14:paraId="43323FA1">
      <w:pPr>
        <w:ind w:firstLine="480"/>
        <w:rPr>
          <w:rFonts w:ascii="仿宋_GB2312" w:hAnsi="Calibri" w:cs="仿宋_GB2312"/>
          <w:bCs/>
          <w:lang w:bidi="ar"/>
        </w:rPr>
      </w:pPr>
      <w:r>
        <w:rPr>
          <w:rFonts w:hint="default" w:ascii="仿宋_GB2312" w:hAnsi="Calibri" w:cs="仿宋_GB2312"/>
          <w:bCs/>
          <w:lang w:bidi="ar"/>
        </w:rPr>
        <w:t>无线写频器连接：若选配无线写频器，将其连接至主机对应写频口，通过写频APP对基站进行调试，修改参数，监测基站工作状态。利用写频APP监测信号干扰情况，若有干扰可在工作频率范围内调整频率，确保通信质量。</w:t>
      </w:r>
    </w:p>
    <w:p w14:paraId="2C844063">
      <w:pPr>
        <w:ind w:firstLine="480"/>
        <w:rPr>
          <w:rFonts w:ascii="仿宋_GB2312" w:hAnsi="Calibri" w:cs="仿宋_GB2312"/>
          <w:bCs/>
          <w:lang w:bidi="ar"/>
        </w:rPr>
      </w:pPr>
      <w:r>
        <w:rPr>
          <w:rFonts w:hint="default" w:ascii="仿宋_GB2312" w:hAnsi="Calibri" w:cs="仿宋_GB2312"/>
          <w:bCs/>
          <w:lang w:bidi="ar"/>
        </w:rPr>
        <w:t>整体调试：完成设备安装后，开启基站电源，检查设备指示灯、蜂鸣器等是否正常工作。进行语音呼叫、短信息发送、定位等功能测试，验证通信质量和定位精度。进行信号强度测试，检查是否有盲区或弱信号区，若存在覆盖不足问题，调整天线高度或更改基站架设位置。同时测试基站的多级转发、跨站自动路由、链路自修复等自组网功能，确保系统稳定运行。</w:t>
      </w:r>
    </w:p>
    <w:p w14:paraId="6379799D">
      <w:pPr>
        <w:pStyle w:val="5"/>
        <w:rPr>
          <w:rFonts w:hint="default" w:ascii="仿宋_GB2312" w:hAnsi="Calibri" w:cs="仿宋_GB2312"/>
          <w:bCs/>
          <w:lang w:val="en-US" w:eastAsia="zh-CN" w:bidi="ar"/>
        </w:rPr>
      </w:pPr>
      <w:r>
        <w:rPr>
          <w:rFonts w:hint="eastAsia"/>
          <w:lang w:val="en-US" w:eastAsia="zh-CN"/>
        </w:rPr>
        <w:t>施工图纸</w:t>
      </w:r>
    </w:p>
    <w:p w14:paraId="504D980E">
      <w:pPr>
        <w:spacing w:line="240" w:lineRule="auto"/>
        <w:ind w:left="0" w:leftChars="0" w:firstLine="0" w:firstLineChars="0"/>
        <w:jc w:val="center"/>
        <w:rPr>
          <w:rFonts w:hint="default" w:ascii="仿宋_GB2312" w:hAnsi="Calibri" w:cs="仿宋_GB2312"/>
          <w:bCs/>
          <w:lang w:val="en-US" w:eastAsia="zh-CN" w:bidi="ar"/>
        </w:rPr>
      </w:pPr>
      <w:r>
        <w:rPr>
          <w:rFonts w:hint="default" w:ascii="仿宋_GB2312" w:hAnsi="Calibri" w:cs="仿宋_GB2312"/>
          <w:bCs/>
          <w:lang w:val="en-US" w:eastAsia="zh-CN" w:bidi="ar"/>
        </w:rPr>
        <w:drawing>
          <wp:inline distT="0" distB="0" distL="114300" distR="114300">
            <wp:extent cx="4952365" cy="3500755"/>
            <wp:effectExtent l="0" t="0" r="635" b="4445"/>
            <wp:docPr id="71" name="图片 71" descr="数字超短波固定基站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数字超短波固定基站_01"/>
                    <pic:cNvPicPr>
                      <a:picLocks noChangeAspect="1"/>
                    </pic:cNvPicPr>
                  </pic:nvPicPr>
                  <pic:blipFill>
                    <a:blip r:embed="rId74"/>
                    <a:stretch>
                      <a:fillRect/>
                    </a:stretch>
                  </pic:blipFill>
                  <pic:spPr>
                    <a:xfrm>
                      <a:off x="0" y="0"/>
                      <a:ext cx="4952365" cy="3500755"/>
                    </a:xfrm>
                    <a:prstGeom prst="rect">
                      <a:avLst/>
                    </a:prstGeom>
                  </pic:spPr>
                </pic:pic>
              </a:graphicData>
            </a:graphic>
          </wp:inline>
        </w:drawing>
      </w:r>
    </w:p>
    <w:p w14:paraId="75B7E8B5">
      <w:pPr>
        <w:pStyle w:val="3"/>
        <w:rPr>
          <w:lang w:val="en-US"/>
        </w:rPr>
      </w:pPr>
      <w:bookmarkStart w:id="225" w:name="_Toc10005"/>
      <w:r>
        <w:rPr>
          <w:rFonts w:hint="eastAsia"/>
          <w:lang w:val="en-US"/>
        </w:rPr>
        <w:t>系统调试与联调方案</w:t>
      </w:r>
      <w:bookmarkEnd w:id="225"/>
    </w:p>
    <w:p w14:paraId="45B35C8A">
      <w:pPr>
        <w:pStyle w:val="4"/>
        <w:rPr>
          <w:lang w:val="en-US"/>
        </w:rPr>
      </w:pPr>
      <w:bookmarkStart w:id="226" w:name="_Toc1073"/>
      <w:r>
        <w:rPr>
          <w:lang w:val="en-US"/>
        </w:rPr>
        <w:t>方案概述</w:t>
      </w:r>
      <w:bookmarkEnd w:id="226"/>
    </w:p>
    <w:p w14:paraId="5BA48450">
      <w:pPr>
        <w:ind w:firstLine="480"/>
      </w:pPr>
      <w:r>
        <w:rPr>
          <w:rFonts w:hint="default"/>
        </w:rPr>
        <w:t>本方案针对岳阳市森林火灾高风险区综合治理信息化建设项目，围绕“监测预警-应急通信-指挥调度-宣传管控”四大核心业务模块，制定系统调试与联调的目标、流程、标准及保障措施，确保各子系统及跨层级、跨部门系统间的互联互通、数据共享与业务协同，实现“空天地人”一体化森林防火体系的高效运行。方案严格遵循国家相关法律法规及行业标准，结合岳阳市森林火灾高风险区的实际情况，充分借鉴国内先进地区的成功经验，确保方案的科学性、实用性和可操作性。</w:t>
      </w:r>
    </w:p>
    <w:p w14:paraId="272D897E">
      <w:pPr>
        <w:pStyle w:val="4"/>
        <w:rPr>
          <w:lang w:val="en-US"/>
        </w:rPr>
      </w:pPr>
      <w:bookmarkStart w:id="227" w:name="_Toc14007"/>
      <w:r>
        <w:rPr>
          <w:lang w:val="en-US"/>
        </w:rPr>
        <w:t>调试与联调目标</w:t>
      </w:r>
      <w:bookmarkEnd w:id="227"/>
    </w:p>
    <w:p w14:paraId="4C4ABEB9">
      <w:pPr>
        <w:ind w:firstLine="480"/>
      </w:pPr>
      <w:r>
        <w:rPr>
          <w:rFonts w:hint="eastAsia"/>
          <w:lang w:val="en-US" w:eastAsia="zh-CN"/>
        </w:rPr>
        <w:t>1.</w:t>
      </w:r>
      <w:r>
        <w:t>单系统功能验证</w:t>
      </w:r>
    </w:p>
    <w:p w14:paraId="21F83B60">
      <w:pPr>
        <w:ind w:firstLine="480"/>
      </w:pPr>
      <w:r>
        <w:rPr>
          <w:rFonts w:hint="default"/>
        </w:rPr>
        <w:t>确保各子系统（预警监测、通信、指挥调度、宣传杆等）的各项功能正常运行，满足设计要求。具体包括：视频监控系统的实时视频传输、云台控制、AI烟火识别功能；无人机指挥调度系统的航线规划、实时视频回传、AI火情识别功能；语音自组网系统的语音通话、短消息发送、定位上报功能；视频监控语音宣传杆的感应触发、语音播报、LED显示功能；指挥调度系统的告警处置、资源管理、指挥标绘功能等。</w:t>
      </w:r>
    </w:p>
    <w:p w14:paraId="7F128521">
      <w:pPr>
        <w:ind w:firstLine="480"/>
      </w:pPr>
      <w:r>
        <w:t>2</w:t>
      </w:r>
      <w:r>
        <w:rPr>
          <w:rFonts w:hint="eastAsia"/>
          <w:lang w:eastAsia="zh-CN"/>
        </w:rPr>
        <w:t>.</w:t>
      </w:r>
      <w:r>
        <w:t>跨系统协同验证</w:t>
      </w:r>
    </w:p>
    <w:p w14:paraId="696AABC7">
      <w:pPr>
        <w:ind w:firstLine="480"/>
      </w:pPr>
      <w:r>
        <w:rPr>
          <w:rFonts w:hint="default"/>
        </w:rPr>
        <w:t>实现各子系统间的数据互通、业务联动，形成“监测-预警-处置-评估”的完整业务闭环。具体包括：视频监控告警自动推送至指挥平台；无人机火情数据同步至GIS平台；地面监控数据</w:t>
      </w:r>
      <w:r>
        <w:rPr>
          <w:rFonts w:hint="eastAsia"/>
          <w:lang w:val="en-US" w:eastAsia="zh-CN"/>
        </w:rPr>
        <w:t>告警</w:t>
      </w:r>
      <w:r>
        <w:rPr>
          <w:rFonts w:hint="default"/>
        </w:rPr>
        <w:t>分析；指挥平台远程调用无人机进行火情核实；对讲机定位信息实时展示在指挥平台地图；指挥平台通过语音自组网下发调度指令；应急通信数据（语音/视频）回传至指挥平台；紧急报警信息同步至指挥平台并触发告警；指挥平台远程切换宣传杆播放模式（日常/应急）；宣传杆感应触发事件上报至指挥平台；指挥平台根据火险等级调整宣传杆播报频率等。</w:t>
      </w:r>
    </w:p>
    <w:p w14:paraId="0BF33BE5">
      <w:pPr>
        <w:ind w:firstLine="480"/>
      </w:pPr>
      <w:r>
        <w:rPr>
          <w:rFonts w:hint="eastAsia"/>
          <w:lang w:val="en-US" w:eastAsia="zh-CN"/>
        </w:rPr>
        <w:t>3.</w:t>
      </w:r>
      <w:r>
        <w:t>外部系统对接验证</w:t>
      </w:r>
    </w:p>
    <w:p w14:paraId="2C3EAF3E">
      <w:pPr>
        <w:ind w:firstLine="480"/>
      </w:pPr>
      <w:r>
        <w:rPr>
          <w:rFonts w:hint="default"/>
        </w:rPr>
        <w:t>完成与上级应急管理平台、气象/自然资源等部门系统的对接，确保纵向贯通、横向协同。具体包括：火情预警数据、应急资源数据、处置结果数据向上级平台上报；上级平台调度指令接收与执行；气象数据（温度、湿度、风向风速）接入指挥平台；地理信息（林相图、地形图）同步至GIS平台；公安视频监控资源调取等。</w:t>
      </w:r>
    </w:p>
    <w:p w14:paraId="6920DDB3">
      <w:pPr>
        <w:ind w:firstLine="480"/>
      </w:pPr>
      <w:r>
        <w:rPr>
          <w:rFonts w:hint="eastAsia"/>
          <w:lang w:val="en-US" w:eastAsia="zh-CN"/>
        </w:rPr>
        <w:t>4.</w:t>
      </w:r>
      <w:r>
        <w:t xml:space="preserve"> 性能与稳定性验证</w:t>
      </w:r>
    </w:p>
    <w:p w14:paraId="25348697">
      <w:pPr>
        <w:ind w:firstLine="480"/>
      </w:pPr>
      <w:r>
        <w:rPr>
          <w:rFonts w:hint="default"/>
        </w:rPr>
        <w:t>在高并发、复杂环境下验证系统的响应速度、数据处理能力及持续运行稳定性。具体包括：系统响应时间（视频监控回传延迟≤2秒，告警推送时间≤3秒，指挥指令响应时间≤1秒）；系统稳定性（连续运行72小时无故障，数据处理能力满足业务峰值需求）；数据传输可靠性（数据传输准确率≥99.9%）；系统兼容性（兼容不同厂商的设备、不同版本的软件）等。</w:t>
      </w:r>
    </w:p>
    <w:p w14:paraId="37AD6B7F">
      <w:pPr>
        <w:pStyle w:val="4"/>
        <w:rPr>
          <w:lang w:val="en-US"/>
        </w:rPr>
      </w:pPr>
      <w:bookmarkStart w:id="228" w:name="_Toc10633"/>
      <w:r>
        <w:rPr>
          <w:lang w:val="en-US"/>
        </w:rPr>
        <w:t>调试与联调范围</w:t>
      </w:r>
      <w:bookmarkEnd w:id="228"/>
    </w:p>
    <w:p w14:paraId="29CE3F2B">
      <w:pPr>
        <w:ind w:firstLine="480"/>
      </w:pPr>
      <w:r>
        <w:rPr>
          <w:rFonts w:hint="eastAsia"/>
          <w:lang w:val="en-US" w:eastAsia="zh-CN"/>
        </w:rPr>
        <w:t>1.</w:t>
      </w:r>
      <w:r>
        <w:t xml:space="preserve"> 预警监测系统</w:t>
      </w:r>
    </w:p>
    <w:p w14:paraId="2B91DCC6">
      <w:pPr>
        <w:ind w:firstLine="480"/>
        <w:rPr>
          <w:rFonts w:hint="default"/>
        </w:rPr>
      </w:pPr>
      <w:r>
        <w:rPr>
          <w:rFonts w:hint="default"/>
        </w:rPr>
        <w:t>包括视频监控、</w:t>
      </w:r>
      <w:r>
        <w:rPr>
          <w:rFonts w:hint="eastAsia"/>
          <w:lang w:val="en-US" w:eastAsia="zh-CN"/>
        </w:rPr>
        <w:t>综合调度</w:t>
      </w:r>
      <w:r>
        <w:rPr>
          <w:rFonts w:hint="default"/>
        </w:rPr>
        <w:t>、卫星遥感对接、GIS平台等模块。视频监控模块主要负责林区实时视频的采集、传输、存储与分析；</w:t>
      </w:r>
      <w:r>
        <w:rPr>
          <w:rFonts w:hint="eastAsia"/>
          <w:lang w:val="en-US" w:eastAsia="zh-CN"/>
        </w:rPr>
        <w:t>综合</w:t>
      </w:r>
      <w:r>
        <w:rPr>
          <w:rFonts w:hint="default"/>
        </w:rPr>
        <w:t>调度</w:t>
      </w:r>
      <w:r>
        <w:rPr>
          <w:rFonts w:hint="eastAsia"/>
          <w:lang w:val="en-US" w:eastAsia="zh-CN"/>
        </w:rPr>
        <w:t>包括</w:t>
      </w:r>
      <w:r>
        <w:rPr>
          <w:rFonts w:hint="default"/>
        </w:rPr>
        <w:t>综合调度平台、无人机指挥调度、移动APP/小程序等模块。综合调度平台模块主要负责森林防火的指挥调度，包括告警处置、资源管理、指挥标绘、灾后评估、统计分析等功能；无人机指挥调度模块主要负责无人机的任务规划、控制与管理；移动APP/小程序模块主要负责移动终端的应用，包括事件上报、事件处置、实时视频查看、地图服务、考勤打卡等功能。模块主要负责无人机的航线规划、实时视频回传、AI火情识别与地面站控制；卫星遥感对接模块主要负责卫星热点信息的接收、处理与分析；GIS平台模块主要负责地理信息的展示、分析与应用，为火情监测、预警、处置提供空间支持。</w:t>
      </w:r>
    </w:p>
    <w:p w14:paraId="7F903B1D">
      <w:pPr>
        <w:ind w:firstLine="480"/>
      </w:pPr>
      <w:r>
        <w:rPr>
          <w:rFonts w:hint="eastAsia"/>
          <w:lang w:val="en-US" w:eastAsia="zh-CN"/>
        </w:rPr>
        <w:t>2.</w:t>
      </w:r>
      <w:r>
        <w:t>森林防火通信系统</w:t>
      </w:r>
    </w:p>
    <w:p w14:paraId="56629EF7">
      <w:pPr>
        <w:ind w:firstLine="480"/>
      </w:pPr>
      <w:r>
        <w:rPr>
          <w:rFonts w:hint="default"/>
        </w:rPr>
        <w:t>包括语音自组网、超短波通信、调度平台等模块。语音自组网模块主要负责林区内部的语音通信，采用自组网技术实现无中心、多跳的无线通信；超短波通信模块主要负责林区与外部的语音通信，采用超短波电台实现远距离通信；调度平台模块主要负责通信系统的管理与调度，包括终端状态监控、语音调度、短信发送、定位轨迹回放等功能。</w:t>
      </w:r>
    </w:p>
    <w:p w14:paraId="53CC3BEC">
      <w:pPr>
        <w:ind w:firstLine="480"/>
      </w:pPr>
      <w:r>
        <w:rPr>
          <w:rFonts w:hint="eastAsia"/>
          <w:lang w:val="en-US" w:eastAsia="zh-CN"/>
        </w:rPr>
        <w:t>3.</w:t>
      </w:r>
      <w:r>
        <w:t>森林消防队伍能力建设</w:t>
      </w:r>
    </w:p>
    <w:p w14:paraId="2127B7F8">
      <w:pPr>
        <w:ind w:firstLine="480"/>
        <w:rPr>
          <w:rFonts w:hint="default"/>
        </w:rPr>
      </w:pPr>
      <w:r>
        <w:rPr>
          <w:rFonts w:hint="default"/>
        </w:rPr>
        <w:t>包括视频监控语音宣传杆、智慧预警平台等模块。视频监控语音宣传杆模块主要负责林区入口、步道沿线、重点防火区等关键节点的视频监控、语音宣传与警示；智慧预警平台模块主要负责宣传杆的远程管理与控制，包括设备状态监测、地理信息展示、远程播控、数据统计分析、告警推送等功能。</w:t>
      </w:r>
    </w:p>
    <w:p w14:paraId="57E8197F">
      <w:pPr>
        <w:ind w:firstLine="480"/>
      </w:pPr>
      <w:r>
        <w:rPr>
          <w:rFonts w:hint="eastAsia"/>
          <w:lang w:val="en-US" w:eastAsia="zh-CN"/>
        </w:rPr>
        <w:t>4.</w:t>
      </w:r>
      <w:r>
        <w:t xml:space="preserve"> 外部对接系统</w:t>
      </w:r>
    </w:p>
    <w:p w14:paraId="4A7150EB">
      <w:pPr>
        <w:ind w:firstLine="480"/>
      </w:pPr>
      <w:r>
        <w:rPr>
          <w:rFonts w:hint="eastAsia"/>
          <w:lang w:val="en-US" w:eastAsia="zh-CN"/>
        </w:rPr>
        <w:t>1）</w:t>
      </w:r>
      <w:r>
        <w:t xml:space="preserve"> 纵向对接</w:t>
      </w:r>
    </w:p>
    <w:p w14:paraId="790A74D6">
      <w:pPr>
        <w:ind w:firstLine="480"/>
      </w:pPr>
      <w:r>
        <w:rPr>
          <w:rFonts w:hint="default"/>
        </w:rPr>
        <w:t>包括国家/省级森林草原防灭火信息共享平台、市级应急指挥中心等。纵向对接主要实现火情预警数据、应急资源数据、处置结果数据的上报与上级平台调度指令的接收与执行，确保森林防火工作的纵向贯通。</w:t>
      </w:r>
    </w:p>
    <w:p w14:paraId="72F519A7">
      <w:pPr>
        <w:ind w:firstLine="480"/>
      </w:pPr>
      <w:r>
        <w:rPr>
          <w:rFonts w:hint="eastAsia"/>
          <w:lang w:val="en-US" w:eastAsia="zh-CN"/>
        </w:rPr>
        <w:t>2）</w:t>
      </w:r>
      <w:r>
        <w:t>横向对接</w:t>
      </w:r>
    </w:p>
    <w:p w14:paraId="26A18559">
      <w:pPr>
        <w:ind w:firstLine="480"/>
      </w:pPr>
      <w:r>
        <w:rPr>
          <w:rFonts w:hint="default"/>
        </w:rPr>
        <w:t>包括气象部门气象数据接口、自然资源部门地理信息接口、公安部门视频监控接口等。横向对接主要实现气象数据、地理信息、视频监控资源的共享与协同，为森林防火工作提供多维度的数据支持。</w:t>
      </w:r>
    </w:p>
    <w:p w14:paraId="243CB864">
      <w:pPr>
        <w:pStyle w:val="4"/>
        <w:rPr>
          <w:lang w:val="en-US"/>
        </w:rPr>
      </w:pPr>
      <w:bookmarkStart w:id="229" w:name="_Toc14868"/>
      <w:r>
        <w:rPr>
          <w:lang w:val="en-US"/>
        </w:rPr>
        <w:t>调试与联调流程及内容</w:t>
      </w:r>
      <w:bookmarkEnd w:id="229"/>
    </w:p>
    <w:p w14:paraId="6DA48B77">
      <w:pPr>
        <w:pStyle w:val="5"/>
        <w:bidi w:val="0"/>
      </w:pPr>
      <w:r>
        <w:t>单系统调试阶段（周期：</w:t>
      </w:r>
      <w:r>
        <w:rPr>
          <w:rFonts w:hint="eastAsia"/>
          <w:lang w:val="en-US" w:eastAsia="zh-CN"/>
        </w:rPr>
        <w:t>20</w:t>
      </w:r>
      <w:r>
        <w:t>天）</w:t>
      </w:r>
    </w:p>
    <w:p w14:paraId="65622F73">
      <w:pPr>
        <w:pStyle w:val="6"/>
        <w:bidi w:val="0"/>
      </w:pPr>
      <w:r>
        <w:t>预警监测系统调试</w:t>
      </w:r>
    </w:p>
    <w:tbl>
      <w:tblPr>
        <w:tblStyle w:val="38"/>
        <w:tblW w:w="79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1050"/>
        <w:gridCol w:w="1997"/>
        <w:gridCol w:w="4940"/>
      </w:tblGrid>
      <w:tr w14:paraId="33B75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403" w:hRule="atLeast"/>
        </w:trPr>
        <w:tc>
          <w:tcPr>
            <w:tcW w:w="0" w:type="auto"/>
            <w:shd w:val="clear" w:color="auto" w:fill="auto"/>
            <w:tcMar>
              <w:top w:w="90" w:type="dxa"/>
              <w:left w:w="180" w:type="dxa"/>
              <w:bottom w:w="90" w:type="dxa"/>
              <w:right w:w="180" w:type="dxa"/>
            </w:tcMar>
            <w:vAlign w:val="center"/>
          </w:tcPr>
          <w:p w14:paraId="3BC25293">
            <w:pPr>
              <w:ind w:left="0" w:leftChars="0" w:firstLine="0" w:firstLineChars="0"/>
            </w:pPr>
            <w:r>
              <w:rPr>
                <w:lang w:val="en-US" w:eastAsia="zh-CN"/>
              </w:rPr>
              <w:t>模块</w:t>
            </w:r>
          </w:p>
        </w:tc>
        <w:tc>
          <w:tcPr>
            <w:tcW w:w="0" w:type="auto"/>
            <w:shd w:val="clear" w:color="auto" w:fill="auto"/>
            <w:tcMar>
              <w:top w:w="90" w:type="dxa"/>
              <w:left w:w="180" w:type="dxa"/>
              <w:bottom w:w="90" w:type="dxa"/>
              <w:right w:w="180" w:type="dxa"/>
            </w:tcMar>
            <w:vAlign w:val="center"/>
          </w:tcPr>
          <w:p w14:paraId="27AAFCF2">
            <w:pPr>
              <w:ind w:firstLine="480"/>
            </w:pPr>
            <w:r>
              <w:rPr>
                <w:lang w:val="en-US" w:eastAsia="zh-CN"/>
              </w:rPr>
              <w:t>调试内容</w:t>
            </w:r>
          </w:p>
        </w:tc>
        <w:tc>
          <w:tcPr>
            <w:tcW w:w="0" w:type="auto"/>
            <w:shd w:val="clear" w:color="auto" w:fill="auto"/>
            <w:tcMar>
              <w:top w:w="90" w:type="dxa"/>
              <w:left w:w="180" w:type="dxa"/>
              <w:bottom w:w="90" w:type="dxa"/>
              <w:right w:w="180" w:type="dxa"/>
            </w:tcMar>
            <w:vAlign w:val="center"/>
          </w:tcPr>
          <w:p w14:paraId="049F32AD">
            <w:pPr>
              <w:ind w:firstLine="480"/>
            </w:pPr>
            <w:r>
              <w:rPr>
                <w:lang w:val="en-US" w:eastAsia="zh-CN"/>
              </w:rPr>
              <w:t>验收标准</w:t>
            </w:r>
          </w:p>
        </w:tc>
      </w:tr>
      <w:tr w14:paraId="4C2B9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0" w:type="auto"/>
            <w:shd w:val="clear" w:color="auto" w:fill="FFFFFF"/>
            <w:tcMar>
              <w:top w:w="90" w:type="dxa"/>
              <w:left w:w="180" w:type="dxa"/>
              <w:bottom w:w="90" w:type="dxa"/>
              <w:right w:w="180" w:type="dxa"/>
            </w:tcMar>
            <w:vAlign w:val="center"/>
          </w:tcPr>
          <w:p w14:paraId="0B30955D">
            <w:pPr>
              <w:ind w:left="0" w:leftChars="0" w:firstLine="0" w:firstLineChars="0"/>
            </w:pPr>
            <w:r>
              <w:rPr>
                <w:lang w:val="en-US" w:eastAsia="zh-CN"/>
              </w:rPr>
              <w:t>视频监控</w:t>
            </w:r>
          </w:p>
        </w:tc>
        <w:tc>
          <w:tcPr>
            <w:tcW w:w="0" w:type="auto"/>
            <w:shd w:val="clear" w:color="auto" w:fill="FFFFFF"/>
            <w:tcMar>
              <w:top w:w="90" w:type="dxa"/>
              <w:left w:w="180" w:type="dxa"/>
              <w:bottom w:w="90" w:type="dxa"/>
              <w:right w:w="180" w:type="dxa"/>
            </w:tcMar>
            <w:vAlign w:val="center"/>
          </w:tcPr>
          <w:p w14:paraId="3AEC3E29">
            <w:pPr>
              <w:ind w:firstLine="480"/>
            </w:pPr>
            <w:r>
              <w:rPr>
                <w:lang w:val="en-US" w:eastAsia="zh-CN"/>
              </w:rPr>
              <w:t>摄像机供电、网络连接、实时视频传输、云台控制、本地存储、AI烟火识别功能；</w:t>
            </w:r>
          </w:p>
        </w:tc>
        <w:tc>
          <w:tcPr>
            <w:tcW w:w="0" w:type="auto"/>
            <w:shd w:val="clear" w:color="auto" w:fill="FFFFFF"/>
            <w:tcMar>
              <w:top w:w="90" w:type="dxa"/>
              <w:left w:w="180" w:type="dxa"/>
              <w:bottom w:w="90" w:type="dxa"/>
              <w:right w:w="180" w:type="dxa"/>
            </w:tcMar>
            <w:vAlign w:val="center"/>
          </w:tcPr>
          <w:p w14:paraId="5474B3FB">
            <w:pPr>
              <w:ind w:firstLine="480"/>
            </w:pPr>
            <w:r>
              <w:rPr>
                <w:lang w:val="en-US" w:eastAsia="zh-CN"/>
              </w:rPr>
              <w:t>视频画面清晰无卡顿，分辨率不低于</w:t>
            </w:r>
            <w:r>
              <w:rPr>
                <w:highlight w:val="none"/>
                <w:lang w:val="en-US" w:eastAsia="zh-CN"/>
              </w:rPr>
              <w:t>1080P，帧率不低于25fps；云台控制响应时间≤1秒，控制精度≤±1°；本地存储容量满足≥30天的视频存储需求</w:t>
            </w:r>
            <w:r>
              <w:rPr>
                <w:lang w:val="en-US" w:eastAsia="zh-CN"/>
              </w:rPr>
              <w:t>；AI烟火识别准确率≥95%，误报率≤5%；</w:t>
            </w:r>
          </w:p>
        </w:tc>
      </w:tr>
      <w:tr w14:paraId="0A470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0" w:type="auto"/>
            <w:shd w:val="clear" w:color="auto" w:fill="FFFFFF"/>
            <w:tcMar>
              <w:top w:w="90" w:type="dxa"/>
              <w:left w:w="180" w:type="dxa"/>
              <w:bottom w:w="90" w:type="dxa"/>
              <w:right w:w="180" w:type="dxa"/>
            </w:tcMar>
            <w:vAlign w:val="center"/>
          </w:tcPr>
          <w:p w14:paraId="25DB6E87">
            <w:pPr>
              <w:ind w:left="0" w:leftChars="0" w:firstLine="0" w:firstLineChars="0"/>
            </w:pPr>
            <w:r>
              <w:rPr>
                <w:lang w:val="en-US" w:eastAsia="zh-CN"/>
              </w:rPr>
              <w:t>无人机指挥调度</w:t>
            </w:r>
          </w:p>
        </w:tc>
        <w:tc>
          <w:tcPr>
            <w:tcW w:w="0" w:type="auto"/>
            <w:shd w:val="clear" w:color="auto" w:fill="FFFFFF"/>
            <w:tcMar>
              <w:top w:w="90" w:type="dxa"/>
              <w:left w:w="180" w:type="dxa"/>
              <w:bottom w:w="90" w:type="dxa"/>
              <w:right w:w="180" w:type="dxa"/>
            </w:tcMar>
            <w:vAlign w:val="center"/>
          </w:tcPr>
          <w:p w14:paraId="1B27BC90">
            <w:pPr>
              <w:ind w:firstLine="480"/>
            </w:pPr>
            <w:r>
              <w:rPr>
                <w:lang w:val="en-US" w:eastAsia="zh-CN"/>
              </w:rPr>
              <w:t>无人机起飞/降落、航线规划、实时视频回传、AI火情识别、地面站控制、数据存储与回放</w:t>
            </w:r>
          </w:p>
        </w:tc>
        <w:tc>
          <w:tcPr>
            <w:tcW w:w="0" w:type="auto"/>
            <w:shd w:val="clear" w:color="auto" w:fill="FFFFFF"/>
            <w:tcMar>
              <w:top w:w="90" w:type="dxa"/>
              <w:left w:w="180" w:type="dxa"/>
              <w:bottom w:w="90" w:type="dxa"/>
              <w:right w:w="180" w:type="dxa"/>
            </w:tcMar>
            <w:vAlign w:val="center"/>
          </w:tcPr>
          <w:p w14:paraId="281E51FF">
            <w:pPr>
              <w:ind w:firstLine="480"/>
            </w:pPr>
            <w:r>
              <w:rPr>
                <w:lang w:val="en-US" w:eastAsia="zh-CN"/>
              </w:rPr>
              <w:t>无人机起降成功率100%，起降时间≤5分钟；航线规划精度≤±5米，可根据实际情况进行实时调整；实时视频回传延迟≤2秒，画面清晰无卡顿；AI火情识别响应时间≤5秒，识别准确率≥90%；地面站控制响应时间≤1秒，可实现对无人机的远程控制与监控；数据存储完整可追溯，存储容量满足≥10次任务的数据存储需求</w:t>
            </w:r>
          </w:p>
        </w:tc>
      </w:tr>
      <w:tr w14:paraId="0DC6B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0" w:type="auto"/>
            <w:shd w:val="clear" w:color="auto" w:fill="FFFFFF"/>
            <w:tcMar>
              <w:top w:w="90" w:type="dxa"/>
              <w:left w:w="180" w:type="dxa"/>
              <w:bottom w:w="90" w:type="dxa"/>
              <w:right w:w="180" w:type="dxa"/>
            </w:tcMar>
            <w:vAlign w:val="center"/>
          </w:tcPr>
          <w:p w14:paraId="114D1615">
            <w:pPr>
              <w:ind w:left="0" w:leftChars="0" w:firstLine="0" w:firstLineChars="0"/>
              <w:rPr>
                <w:rFonts w:hint="default"/>
                <w:lang w:val="en-US" w:eastAsia="zh-CN"/>
              </w:rPr>
            </w:pPr>
            <w:r>
              <w:rPr>
                <w:rFonts w:hint="eastAsia"/>
                <w:lang w:val="en-US" w:eastAsia="zh-CN"/>
              </w:rPr>
              <w:t>综合调度</w:t>
            </w:r>
          </w:p>
        </w:tc>
        <w:tc>
          <w:tcPr>
            <w:tcW w:w="0" w:type="auto"/>
            <w:shd w:val="clear" w:color="auto" w:fill="FFFFFF"/>
            <w:tcMar>
              <w:top w:w="90" w:type="dxa"/>
              <w:left w:w="180" w:type="dxa"/>
              <w:bottom w:w="90" w:type="dxa"/>
              <w:right w:w="180" w:type="dxa"/>
            </w:tcMar>
            <w:vAlign w:val="center"/>
          </w:tcPr>
          <w:p w14:paraId="164B00E0">
            <w:pPr>
              <w:ind w:firstLine="480"/>
              <w:rPr>
                <w:lang w:val="en-US" w:eastAsia="zh-CN"/>
              </w:rPr>
            </w:pPr>
            <w:r>
              <w:rPr>
                <w:lang w:val="en-US" w:eastAsia="zh-CN"/>
              </w:rPr>
              <w:t>视频监控接入、告警处置流程、资源管理、指挥标绘、灾后评估、统计分析</w:t>
            </w:r>
          </w:p>
        </w:tc>
        <w:tc>
          <w:tcPr>
            <w:tcW w:w="0" w:type="auto"/>
            <w:shd w:val="clear" w:color="auto" w:fill="FFFFFF"/>
            <w:tcMar>
              <w:top w:w="90" w:type="dxa"/>
              <w:left w:w="180" w:type="dxa"/>
              <w:bottom w:w="90" w:type="dxa"/>
              <w:right w:w="180" w:type="dxa"/>
            </w:tcMar>
            <w:vAlign w:val="center"/>
          </w:tcPr>
          <w:p w14:paraId="33282D8E">
            <w:pPr>
              <w:ind w:firstLine="480"/>
              <w:rPr>
                <w:lang w:val="en-US" w:eastAsia="zh-CN"/>
              </w:rPr>
            </w:pPr>
            <w:r>
              <w:rPr>
                <w:lang w:val="en-US" w:eastAsia="zh-CN"/>
              </w:rPr>
              <w:t>视频监控接入成功率100%，可实现对多个视频监控点的同时查看与管理；告警处置流程闭环，可实现告警的接收、核实、上报、处置、反馈等全流程管理；资源管理功能完善，可对救援队伍、物资装备、水源、道路等资源进行管理与调度；指挥标绘操作流畅，可实现火线、隔离带、救援路线等的标绘与管理；灾后评估功能科学合理，可对火灾损失、处置效果等进行评估；统计分析功能强大，可对火情数据、处置数据、资源数据等进行统计分析与挖掘</w:t>
            </w:r>
          </w:p>
        </w:tc>
      </w:tr>
      <w:tr w14:paraId="37DFC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2662" w:type="dxa"/>
            <w:shd w:val="clear" w:color="auto" w:fill="FFFFFF"/>
            <w:tcMar>
              <w:top w:w="90" w:type="dxa"/>
              <w:left w:w="180" w:type="dxa"/>
              <w:bottom w:w="90" w:type="dxa"/>
              <w:right w:w="180" w:type="dxa"/>
            </w:tcMar>
            <w:vAlign w:val="center"/>
          </w:tcPr>
          <w:p w14:paraId="6CA4BD4B">
            <w:pPr>
              <w:ind w:left="0" w:leftChars="0" w:firstLine="0" w:firstLineChars="0"/>
              <w:rPr>
                <w:rFonts w:hint="eastAsia"/>
                <w:lang w:val="en-US" w:eastAsia="zh-CN"/>
              </w:rPr>
            </w:pPr>
            <w:r>
              <w:rPr>
                <w:lang w:val="en-US" w:eastAsia="zh-CN"/>
              </w:rPr>
              <w:t>移动APP/小程序</w:t>
            </w:r>
          </w:p>
        </w:tc>
        <w:tc>
          <w:tcPr>
            <w:tcW w:w="2662" w:type="dxa"/>
            <w:shd w:val="clear" w:color="auto" w:fill="FFFFFF"/>
            <w:tcMar>
              <w:top w:w="90" w:type="dxa"/>
              <w:left w:w="180" w:type="dxa"/>
              <w:bottom w:w="90" w:type="dxa"/>
              <w:right w:w="180" w:type="dxa"/>
            </w:tcMar>
            <w:vAlign w:val="center"/>
          </w:tcPr>
          <w:p w14:paraId="238326D2">
            <w:pPr>
              <w:ind w:firstLine="480" w:firstLineChars="200"/>
              <w:rPr>
                <w:lang w:val="en-US" w:eastAsia="zh-CN"/>
              </w:rPr>
            </w:pPr>
            <w:r>
              <w:rPr>
                <w:lang w:val="en-US" w:eastAsia="zh-CN"/>
              </w:rPr>
              <w:t>事件上报、事件处置、实时视频查看、地图服务、考勤打卡</w:t>
            </w:r>
          </w:p>
        </w:tc>
        <w:tc>
          <w:tcPr>
            <w:tcW w:w="2662" w:type="dxa"/>
            <w:shd w:val="clear" w:color="auto" w:fill="FFFFFF"/>
            <w:tcMar>
              <w:top w:w="90" w:type="dxa"/>
              <w:left w:w="180" w:type="dxa"/>
              <w:bottom w:w="90" w:type="dxa"/>
              <w:right w:w="180" w:type="dxa"/>
            </w:tcMar>
            <w:vAlign w:val="center"/>
          </w:tcPr>
          <w:p w14:paraId="1DE55F30">
            <w:pPr>
              <w:ind w:firstLine="480" w:firstLineChars="200"/>
              <w:rPr>
                <w:lang w:val="en-US" w:eastAsia="zh-CN"/>
              </w:rPr>
            </w:pPr>
            <w:r>
              <w:rPr>
                <w:lang w:val="en-US" w:eastAsia="zh-CN"/>
              </w:rPr>
              <w:t>事件上报数据同步时间≤1分钟，可实现事件的快速上报与管理；事件处置功能完善，可接收处置任务、反馈处置结果等；实时视频查看流畅无卡顿，可实现对视频监控点的远程查看与控制；地图服务功能准确直观，可实现地图显示、定位、导航等功能；考勤打卡记录完整，可实现对工作人员的考勤管理</w:t>
            </w:r>
          </w:p>
        </w:tc>
      </w:tr>
      <w:tr w14:paraId="7B7B3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0" w:type="auto"/>
            <w:shd w:val="clear" w:color="auto" w:fill="FFFFFF"/>
            <w:tcMar>
              <w:top w:w="90" w:type="dxa"/>
              <w:left w:w="180" w:type="dxa"/>
              <w:bottom w:w="90" w:type="dxa"/>
              <w:right w:w="180" w:type="dxa"/>
            </w:tcMar>
            <w:vAlign w:val="center"/>
          </w:tcPr>
          <w:p w14:paraId="2D04772E">
            <w:pPr>
              <w:ind w:left="0" w:leftChars="0" w:firstLine="0" w:firstLineChars="0"/>
            </w:pPr>
            <w:r>
              <w:rPr>
                <w:lang w:val="en-US" w:eastAsia="zh-CN"/>
              </w:rPr>
              <w:t>GIS平台</w:t>
            </w:r>
          </w:p>
        </w:tc>
        <w:tc>
          <w:tcPr>
            <w:tcW w:w="0" w:type="auto"/>
            <w:shd w:val="clear" w:color="auto" w:fill="FFFFFF"/>
            <w:tcMar>
              <w:top w:w="90" w:type="dxa"/>
              <w:left w:w="180" w:type="dxa"/>
              <w:bottom w:w="90" w:type="dxa"/>
              <w:right w:w="180" w:type="dxa"/>
            </w:tcMar>
            <w:vAlign w:val="center"/>
          </w:tcPr>
          <w:p w14:paraId="7B7E4DC1">
            <w:pPr>
              <w:ind w:firstLine="480"/>
            </w:pPr>
            <w:r>
              <w:rPr>
                <w:lang w:val="en-US" w:eastAsia="zh-CN"/>
              </w:rPr>
              <w:t>地图加载、图层切换、火点定位、周边资源分析、态势标绘、数据可视化展示</w:t>
            </w:r>
          </w:p>
        </w:tc>
        <w:tc>
          <w:tcPr>
            <w:tcW w:w="0" w:type="auto"/>
            <w:shd w:val="clear" w:color="auto" w:fill="FFFFFF"/>
            <w:tcMar>
              <w:top w:w="90" w:type="dxa"/>
              <w:left w:w="180" w:type="dxa"/>
              <w:bottom w:w="90" w:type="dxa"/>
              <w:right w:w="180" w:type="dxa"/>
            </w:tcMar>
            <w:vAlign w:val="center"/>
          </w:tcPr>
          <w:p w14:paraId="079756BB">
            <w:pPr>
              <w:ind w:firstLine="480"/>
            </w:pPr>
            <w:r>
              <w:rPr>
                <w:lang w:val="en-US" w:eastAsia="zh-CN"/>
              </w:rPr>
              <w:t>地图加载时间≤3秒，支持离线地图加载；图层切换响应时间≤1秒，可根据需求自定义图层显示内容；火点定位误差≤10米，可实现火点的实时定位与跟踪；周边资源分析响应时间≤5秒，可分析火点周边的水源、道路、救援力量等资源信息；态势标绘操作流畅，可实现火线、隔离带、救援路线等的标绘；数据可视化展示准确直观，可通过图表、地图等形式展示火情态势、资源分布等信息</w:t>
            </w:r>
          </w:p>
        </w:tc>
      </w:tr>
    </w:tbl>
    <w:p w14:paraId="0144CB07">
      <w:pPr>
        <w:ind w:firstLine="480"/>
      </w:pPr>
    </w:p>
    <w:p w14:paraId="33FCEE16">
      <w:pPr>
        <w:pStyle w:val="6"/>
        <w:bidi w:val="0"/>
      </w:pPr>
      <w:r>
        <w:t>森林防火通信系统调试</w:t>
      </w:r>
    </w:p>
    <w:p w14:paraId="66EF9B1F">
      <w:pPr>
        <w:ind w:firstLine="480"/>
      </w:pPr>
    </w:p>
    <w:tbl>
      <w:tblPr>
        <w:tblStyle w:val="38"/>
        <w:tblW w:w="79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1327"/>
        <w:gridCol w:w="2104"/>
        <w:gridCol w:w="4556"/>
      </w:tblGrid>
      <w:tr w14:paraId="79E05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400" w:hRule="atLeast"/>
          <w:tblHeader/>
        </w:trPr>
        <w:tc>
          <w:tcPr>
            <w:tcW w:w="1327" w:type="dxa"/>
            <w:shd w:val="clear" w:color="auto" w:fill="auto"/>
            <w:tcMar>
              <w:top w:w="90" w:type="dxa"/>
              <w:left w:w="180" w:type="dxa"/>
              <w:bottom w:w="90" w:type="dxa"/>
              <w:right w:w="180" w:type="dxa"/>
            </w:tcMar>
            <w:vAlign w:val="center"/>
          </w:tcPr>
          <w:p w14:paraId="08E517ED">
            <w:pPr>
              <w:ind w:left="0" w:leftChars="0" w:firstLine="0" w:firstLineChars="0"/>
            </w:pPr>
            <w:r>
              <w:rPr>
                <w:lang w:val="en-US" w:eastAsia="zh-CN"/>
              </w:rPr>
              <w:t>模块</w:t>
            </w:r>
          </w:p>
        </w:tc>
        <w:tc>
          <w:tcPr>
            <w:tcW w:w="2104" w:type="dxa"/>
            <w:shd w:val="clear" w:color="auto" w:fill="auto"/>
            <w:tcMar>
              <w:top w:w="90" w:type="dxa"/>
              <w:left w:w="180" w:type="dxa"/>
              <w:bottom w:w="90" w:type="dxa"/>
              <w:right w:w="180" w:type="dxa"/>
            </w:tcMar>
            <w:vAlign w:val="center"/>
          </w:tcPr>
          <w:p w14:paraId="175C4AB2">
            <w:pPr>
              <w:ind w:firstLine="480"/>
            </w:pPr>
            <w:r>
              <w:rPr>
                <w:lang w:val="en-US" w:eastAsia="zh-CN"/>
              </w:rPr>
              <w:t>调试内容</w:t>
            </w:r>
          </w:p>
        </w:tc>
        <w:tc>
          <w:tcPr>
            <w:tcW w:w="4556" w:type="dxa"/>
            <w:shd w:val="clear" w:color="auto" w:fill="auto"/>
            <w:tcMar>
              <w:top w:w="90" w:type="dxa"/>
              <w:left w:w="180" w:type="dxa"/>
              <w:bottom w:w="90" w:type="dxa"/>
              <w:right w:w="180" w:type="dxa"/>
            </w:tcMar>
            <w:vAlign w:val="center"/>
          </w:tcPr>
          <w:p w14:paraId="71BACEC9">
            <w:pPr>
              <w:ind w:firstLine="480"/>
            </w:pPr>
            <w:r>
              <w:rPr>
                <w:lang w:val="en-US" w:eastAsia="zh-CN"/>
              </w:rPr>
              <w:t>验收标准</w:t>
            </w:r>
          </w:p>
        </w:tc>
      </w:tr>
      <w:tr w14:paraId="4A479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 w:hRule="atLeast"/>
        </w:trPr>
        <w:tc>
          <w:tcPr>
            <w:tcW w:w="1327" w:type="dxa"/>
            <w:shd w:val="clear" w:color="auto" w:fill="FFFFFF"/>
            <w:tcMar>
              <w:top w:w="90" w:type="dxa"/>
              <w:left w:w="180" w:type="dxa"/>
              <w:bottom w:w="90" w:type="dxa"/>
              <w:right w:w="180" w:type="dxa"/>
            </w:tcMar>
            <w:vAlign w:val="center"/>
          </w:tcPr>
          <w:p w14:paraId="5DDCE8D2">
            <w:pPr>
              <w:ind w:left="0" w:leftChars="0" w:firstLine="0" w:firstLineChars="0"/>
            </w:pPr>
            <w:r>
              <w:rPr>
                <w:lang w:val="en-US" w:eastAsia="zh-CN"/>
              </w:rPr>
              <w:t>语音自组网</w:t>
            </w:r>
          </w:p>
        </w:tc>
        <w:tc>
          <w:tcPr>
            <w:tcW w:w="2104" w:type="dxa"/>
            <w:shd w:val="clear" w:color="auto" w:fill="FFFFFF"/>
            <w:tcMar>
              <w:top w:w="90" w:type="dxa"/>
              <w:left w:w="180" w:type="dxa"/>
              <w:bottom w:w="90" w:type="dxa"/>
              <w:right w:w="180" w:type="dxa"/>
            </w:tcMar>
            <w:vAlign w:val="center"/>
          </w:tcPr>
          <w:p w14:paraId="73686A23">
            <w:pPr>
              <w:ind w:firstLine="480"/>
            </w:pPr>
            <w:r>
              <w:rPr>
                <w:lang w:val="en-US" w:eastAsia="zh-CN"/>
              </w:rPr>
              <w:t>固定基站/车载台/背负台开机注册、语音通话（个呼/组呼/全呼）、短消息发送、定位上报、紧急呼叫</w:t>
            </w:r>
          </w:p>
        </w:tc>
        <w:tc>
          <w:tcPr>
            <w:tcW w:w="4556" w:type="dxa"/>
            <w:shd w:val="clear" w:color="auto" w:fill="FFFFFF"/>
            <w:tcMar>
              <w:top w:w="90" w:type="dxa"/>
              <w:left w:w="180" w:type="dxa"/>
              <w:bottom w:w="90" w:type="dxa"/>
              <w:right w:w="180" w:type="dxa"/>
            </w:tcMar>
            <w:vAlign w:val="center"/>
          </w:tcPr>
          <w:p w14:paraId="79A68DF5">
            <w:pPr>
              <w:ind w:firstLine="480"/>
            </w:pPr>
            <w:r>
              <w:rPr>
                <w:lang w:val="en-US" w:eastAsia="zh-CN"/>
              </w:rPr>
              <w:t>终端上线时间≤30秒，上线成功率100%；语音通话清晰无杂音，通话质量不低于4级（5级制）；短消息接收成功率100%，消息延迟≤5秒；定位误差≤5米，定位更新频率≤10秒；紧急呼叫优先级最高，响应时间≤2秒，</w:t>
            </w:r>
            <w:r>
              <w:rPr>
                <w:rFonts w:hint="eastAsia"/>
                <w:lang w:val="en-US" w:eastAsia="zh-CN"/>
              </w:rPr>
              <w:t>不依赖公网、光纤、微波等第三方链路，所有基站通过自身信道纯无线空口组网，</w:t>
            </w:r>
            <w:r>
              <w:rPr>
                <w:lang w:val="en-US" w:eastAsia="zh-CN"/>
              </w:rPr>
              <w:t>可实现紧急情况下的快速通信</w:t>
            </w:r>
          </w:p>
        </w:tc>
      </w:tr>
      <w:tr w14:paraId="1CF08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 w:hRule="atLeast"/>
        </w:trPr>
        <w:tc>
          <w:tcPr>
            <w:tcW w:w="1327" w:type="dxa"/>
            <w:shd w:val="clear" w:color="auto" w:fill="FFFFFF"/>
            <w:tcMar>
              <w:top w:w="90" w:type="dxa"/>
              <w:left w:w="180" w:type="dxa"/>
              <w:bottom w:w="90" w:type="dxa"/>
              <w:right w:w="180" w:type="dxa"/>
            </w:tcMar>
            <w:vAlign w:val="center"/>
          </w:tcPr>
          <w:p w14:paraId="71F8AFD4">
            <w:pPr>
              <w:ind w:left="0" w:leftChars="0" w:firstLine="0" w:firstLineChars="0"/>
            </w:pPr>
            <w:r>
              <w:rPr>
                <w:lang w:val="en-US" w:eastAsia="zh-CN"/>
              </w:rPr>
              <w:t>调度平台</w:t>
            </w:r>
          </w:p>
        </w:tc>
        <w:tc>
          <w:tcPr>
            <w:tcW w:w="2104" w:type="dxa"/>
            <w:shd w:val="clear" w:color="auto" w:fill="FFFFFF"/>
            <w:tcMar>
              <w:top w:w="90" w:type="dxa"/>
              <w:left w:w="180" w:type="dxa"/>
              <w:bottom w:w="90" w:type="dxa"/>
              <w:right w:w="180" w:type="dxa"/>
            </w:tcMar>
            <w:vAlign w:val="center"/>
          </w:tcPr>
          <w:p w14:paraId="26B4104A">
            <w:pPr>
              <w:ind w:firstLine="480"/>
            </w:pPr>
            <w:r>
              <w:rPr>
                <w:lang w:val="en-US" w:eastAsia="zh-CN"/>
              </w:rPr>
              <w:t>终端状态监控、语音调度、短信发送、定位轨迹回放、全网录音、分权调度</w:t>
            </w:r>
          </w:p>
        </w:tc>
        <w:tc>
          <w:tcPr>
            <w:tcW w:w="4556" w:type="dxa"/>
            <w:shd w:val="clear" w:color="auto" w:fill="FFFFFF"/>
            <w:tcMar>
              <w:top w:w="90" w:type="dxa"/>
              <w:left w:w="180" w:type="dxa"/>
              <w:bottom w:w="90" w:type="dxa"/>
              <w:right w:w="180" w:type="dxa"/>
            </w:tcMar>
            <w:vAlign w:val="center"/>
          </w:tcPr>
          <w:p w14:paraId="24F396BC">
            <w:pPr>
              <w:ind w:firstLine="480"/>
            </w:pPr>
            <w:r>
              <w:rPr>
                <w:lang w:val="en-US" w:eastAsia="zh-CN"/>
              </w:rPr>
              <w:t>终端状态显示实时更新，更新频率≤10秒；语音调度响应时间≤1秒，可实现对单个或多个终端的语音调度；短信发送成功率100%，消息延迟≤5秒；定位轨迹回放准确完整，可实现对终端历史轨迹的回放与分析；全网录音存储时间≥</w:t>
            </w:r>
            <w:r>
              <w:rPr>
                <w:rFonts w:hint="eastAsia"/>
                <w:lang w:val="en-US" w:eastAsia="zh-CN"/>
              </w:rPr>
              <w:t>15天</w:t>
            </w:r>
            <w:r>
              <w:rPr>
                <w:lang w:val="en-US" w:eastAsia="zh-CN"/>
              </w:rPr>
              <w:t>，录音质量清晰可辨；分权调度功能完善，可根据用户权限进行不同级别的调度管理</w:t>
            </w:r>
          </w:p>
        </w:tc>
      </w:tr>
    </w:tbl>
    <w:p w14:paraId="6717BAD6">
      <w:pPr>
        <w:ind w:firstLine="480"/>
      </w:pPr>
    </w:p>
    <w:p w14:paraId="556DBD78">
      <w:pPr>
        <w:pStyle w:val="6"/>
        <w:bidi w:val="0"/>
      </w:pPr>
      <w:r>
        <w:t>视频监控语音宣传杆调试</w:t>
      </w:r>
    </w:p>
    <w:p w14:paraId="61252B54">
      <w:pPr>
        <w:ind w:firstLine="480"/>
      </w:pPr>
    </w:p>
    <w:tbl>
      <w:tblPr>
        <w:tblStyle w:val="38"/>
        <w:tblW w:w="79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1350"/>
        <w:gridCol w:w="2081"/>
        <w:gridCol w:w="4556"/>
      </w:tblGrid>
      <w:tr w14:paraId="7DA44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403" w:hRule="atLeast"/>
        </w:trPr>
        <w:tc>
          <w:tcPr>
            <w:tcW w:w="1350" w:type="dxa"/>
            <w:shd w:val="clear" w:color="auto" w:fill="auto"/>
            <w:tcMar>
              <w:top w:w="90" w:type="dxa"/>
              <w:left w:w="180" w:type="dxa"/>
              <w:bottom w:w="90" w:type="dxa"/>
              <w:right w:w="180" w:type="dxa"/>
            </w:tcMar>
            <w:vAlign w:val="center"/>
          </w:tcPr>
          <w:p w14:paraId="1DCFFB59">
            <w:pPr>
              <w:ind w:left="0" w:leftChars="0" w:firstLine="0" w:firstLineChars="0"/>
            </w:pPr>
            <w:r>
              <w:rPr>
                <w:lang w:val="en-US" w:eastAsia="zh-CN"/>
              </w:rPr>
              <w:t>模块</w:t>
            </w:r>
          </w:p>
        </w:tc>
        <w:tc>
          <w:tcPr>
            <w:tcW w:w="2081" w:type="dxa"/>
            <w:shd w:val="clear" w:color="auto" w:fill="auto"/>
            <w:tcMar>
              <w:top w:w="90" w:type="dxa"/>
              <w:left w:w="180" w:type="dxa"/>
              <w:bottom w:w="90" w:type="dxa"/>
              <w:right w:w="180" w:type="dxa"/>
            </w:tcMar>
            <w:vAlign w:val="center"/>
          </w:tcPr>
          <w:p w14:paraId="6DC19B88">
            <w:pPr>
              <w:ind w:firstLine="480"/>
            </w:pPr>
            <w:r>
              <w:rPr>
                <w:lang w:val="en-US" w:eastAsia="zh-CN"/>
              </w:rPr>
              <w:t>调试内容</w:t>
            </w:r>
          </w:p>
        </w:tc>
        <w:tc>
          <w:tcPr>
            <w:tcW w:w="4556" w:type="dxa"/>
            <w:shd w:val="clear" w:color="auto" w:fill="auto"/>
            <w:tcMar>
              <w:top w:w="90" w:type="dxa"/>
              <w:left w:w="180" w:type="dxa"/>
              <w:bottom w:w="90" w:type="dxa"/>
              <w:right w:w="180" w:type="dxa"/>
            </w:tcMar>
            <w:vAlign w:val="center"/>
          </w:tcPr>
          <w:p w14:paraId="37920158">
            <w:pPr>
              <w:ind w:firstLine="480"/>
            </w:pPr>
            <w:r>
              <w:rPr>
                <w:lang w:val="en-US" w:eastAsia="zh-CN"/>
              </w:rPr>
              <w:t>验收标准</w:t>
            </w:r>
          </w:p>
        </w:tc>
      </w:tr>
      <w:tr w14:paraId="22D51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1350" w:type="dxa"/>
            <w:shd w:val="clear" w:color="auto" w:fill="FFFFFF"/>
            <w:tcMar>
              <w:top w:w="90" w:type="dxa"/>
              <w:left w:w="180" w:type="dxa"/>
              <w:bottom w:w="90" w:type="dxa"/>
              <w:right w:w="180" w:type="dxa"/>
            </w:tcMar>
            <w:vAlign w:val="center"/>
          </w:tcPr>
          <w:p w14:paraId="0A091905">
            <w:pPr>
              <w:ind w:left="0" w:leftChars="0" w:firstLine="0" w:firstLineChars="0"/>
            </w:pPr>
            <w:r>
              <w:rPr>
                <w:lang w:val="en-US" w:eastAsia="zh-CN"/>
              </w:rPr>
              <w:t>设备功能</w:t>
            </w:r>
          </w:p>
        </w:tc>
        <w:tc>
          <w:tcPr>
            <w:tcW w:w="2081" w:type="dxa"/>
            <w:shd w:val="clear" w:color="auto" w:fill="FFFFFF"/>
            <w:tcMar>
              <w:top w:w="90" w:type="dxa"/>
              <w:left w:w="180" w:type="dxa"/>
              <w:bottom w:w="90" w:type="dxa"/>
              <w:right w:w="180" w:type="dxa"/>
            </w:tcMar>
            <w:vAlign w:val="center"/>
          </w:tcPr>
          <w:p w14:paraId="78CE1DE6">
            <w:pPr>
              <w:ind w:firstLine="480"/>
            </w:pPr>
            <w:r>
              <w:rPr>
                <w:lang w:val="en-US" w:eastAsia="zh-CN"/>
              </w:rPr>
              <w:t>太阳能供电、感应触发、语音播报视频监控、网络传输、平台对接</w:t>
            </w:r>
          </w:p>
        </w:tc>
        <w:tc>
          <w:tcPr>
            <w:tcW w:w="4556" w:type="dxa"/>
            <w:shd w:val="clear" w:color="auto" w:fill="FFFFFF"/>
            <w:tcMar>
              <w:top w:w="90" w:type="dxa"/>
              <w:left w:w="180" w:type="dxa"/>
              <w:bottom w:w="90" w:type="dxa"/>
              <w:right w:w="180" w:type="dxa"/>
            </w:tcMar>
            <w:vAlign w:val="center"/>
          </w:tcPr>
          <w:p w14:paraId="0D1DC46D">
            <w:pPr>
              <w:ind w:firstLine="480"/>
            </w:pPr>
            <w:r>
              <w:rPr>
                <w:lang w:val="en-US" w:eastAsia="zh-CN"/>
              </w:rPr>
              <w:t>太阳能供电系统满足连续阴雨天气≥5天的供电需求；感应触发响应时间≤1秒，感应距离≥10米；语音播报声音清晰可辨；视频监控画面清晰无卡顿，分辨率不低于1080P；网络传输稳定可靠，数据传输准确率≥99.9%；平台对接成功，可实现设备状态监测、远程播控、数据统计分析等功能</w:t>
            </w:r>
          </w:p>
        </w:tc>
      </w:tr>
      <w:tr w14:paraId="1A34B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3" w:hRule="atLeast"/>
        </w:trPr>
        <w:tc>
          <w:tcPr>
            <w:tcW w:w="1350" w:type="dxa"/>
            <w:shd w:val="clear" w:color="auto" w:fill="FFFFFF"/>
            <w:tcMar>
              <w:top w:w="90" w:type="dxa"/>
              <w:left w:w="180" w:type="dxa"/>
              <w:bottom w:w="90" w:type="dxa"/>
              <w:right w:w="180" w:type="dxa"/>
            </w:tcMar>
            <w:vAlign w:val="center"/>
          </w:tcPr>
          <w:p w14:paraId="3154E54D">
            <w:pPr>
              <w:ind w:left="0" w:leftChars="0" w:firstLine="0" w:firstLineChars="0"/>
            </w:pPr>
            <w:r>
              <w:rPr>
                <w:lang w:val="en-US" w:eastAsia="zh-CN"/>
              </w:rPr>
              <w:t>智慧预警平台</w:t>
            </w:r>
          </w:p>
        </w:tc>
        <w:tc>
          <w:tcPr>
            <w:tcW w:w="2081" w:type="dxa"/>
            <w:shd w:val="clear" w:color="auto" w:fill="FFFFFF"/>
            <w:tcMar>
              <w:top w:w="90" w:type="dxa"/>
              <w:left w:w="180" w:type="dxa"/>
              <w:bottom w:w="90" w:type="dxa"/>
              <w:right w:w="180" w:type="dxa"/>
            </w:tcMar>
            <w:vAlign w:val="center"/>
          </w:tcPr>
          <w:p w14:paraId="00E937E9">
            <w:pPr>
              <w:ind w:firstLine="480"/>
            </w:pPr>
            <w:r>
              <w:rPr>
                <w:lang w:val="en-US" w:eastAsia="zh-CN"/>
              </w:rPr>
              <w:t>设备状态监测、地理信息展示、远程播控、数据统计分析、告警推送</w:t>
            </w:r>
          </w:p>
        </w:tc>
        <w:tc>
          <w:tcPr>
            <w:tcW w:w="4556" w:type="dxa"/>
            <w:shd w:val="clear" w:color="auto" w:fill="FFFFFF"/>
            <w:tcMar>
              <w:top w:w="90" w:type="dxa"/>
              <w:left w:w="180" w:type="dxa"/>
              <w:bottom w:w="90" w:type="dxa"/>
              <w:right w:w="180" w:type="dxa"/>
            </w:tcMar>
            <w:vAlign w:val="center"/>
          </w:tcPr>
          <w:p w14:paraId="0BB7BFD1">
            <w:pPr>
              <w:ind w:firstLine="480"/>
            </w:pPr>
            <w:r>
              <w:rPr>
                <w:lang w:val="en-US" w:eastAsia="zh-CN"/>
              </w:rPr>
              <w:t>设备状态监测实时更新，更新频率≤1分钟；地理信息展示准确直观，可在地图上显示设备的位置、状态等信息；远程播控响应时间≤2秒，可实现对宣传杆播放模式、播报内容的远程控制；数据统计分析功能完善，可对设备运行状态、感应触发事件、语音播报次数等数据进行统计分析；告警推送及时准确</w:t>
            </w:r>
            <w:r>
              <w:rPr>
                <w:rFonts w:hint="eastAsia"/>
                <w:lang w:val="en-US" w:eastAsia="zh-CN"/>
              </w:rPr>
              <w:t>。</w:t>
            </w:r>
          </w:p>
        </w:tc>
      </w:tr>
    </w:tbl>
    <w:p w14:paraId="01E55E9A">
      <w:pPr>
        <w:ind w:left="0" w:leftChars="0" w:firstLine="0" w:firstLineChars="0"/>
      </w:pPr>
    </w:p>
    <w:p w14:paraId="27C11FA0">
      <w:pPr>
        <w:pStyle w:val="5"/>
        <w:bidi w:val="0"/>
      </w:pPr>
      <w:r>
        <w:t>跨系统联调阶段（周期：</w:t>
      </w:r>
      <w:r>
        <w:rPr>
          <w:rFonts w:hint="eastAsia"/>
          <w:lang w:val="en-US" w:eastAsia="zh-CN"/>
        </w:rPr>
        <w:t>20</w:t>
      </w:r>
      <w:r>
        <w:t>天）</w:t>
      </w:r>
    </w:p>
    <w:p w14:paraId="02B58C4D">
      <w:pPr>
        <w:pStyle w:val="6"/>
        <w:bidi w:val="0"/>
        <w:rPr>
          <w:lang w:val="zh-CN" w:eastAsia="zh-CN"/>
        </w:rPr>
      </w:pPr>
      <w:r>
        <w:rPr>
          <w:lang w:val="zh-CN" w:eastAsia="zh-CN"/>
        </w:rPr>
        <w:t>预警监测与指挥调度联调</w:t>
      </w:r>
    </w:p>
    <w:p w14:paraId="1A4F780B">
      <w:pPr>
        <w:ind w:firstLine="480"/>
      </w:pPr>
      <w:r>
        <w:rPr>
          <w:rFonts w:hint="default"/>
        </w:rPr>
        <w:t>联调内容：视频监控告警自动推送至指挥平台；无人机火情数据同步至GIS平台；卫星热点信息与地面监控数据融合分析；指挥平台远程调用无人机进行火情核实。</w:t>
      </w:r>
    </w:p>
    <w:p w14:paraId="0A7E326A">
      <w:pPr>
        <w:pStyle w:val="6"/>
        <w:bidi w:val="0"/>
        <w:rPr>
          <w:lang w:val="zh-CN" w:eastAsia="zh-CN"/>
        </w:rPr>
      </w:pPr>
      <w:r>
        <w:rPr>
          <w:lang w:val="zh-CN" w:eastAsia="zh-CN"/>
        </w:rPr>
        <w:t>通信系统与指挥调度联调</w:t>
      </w:r>
    </w:p>
    <w:p w14:paraId="660CE166">
      <w:pPr>
        <w:ind w:firstLine="480"/>
        <w:rPr>
          <w:rFonts w:hint="default"/>
        </w:rPr>
      </w:pPr>
      <w:r>
        <w:rPr>
          <w:rFonts w:hint="default"/>
        </w:rPr>
        <w:t>联调内容：对讲机定位信息实时展示在指挥平台地图；指挥平台通过语音自组网下发调度指令；应急通信数据（语音/视频）回传至指挥平台；紧急报警信息同步至指挥平台并触发告警。</w:t>
      </w:r>
    </w:p>
    <w:p w14:paraId="28F91A60">
      <w:pPr>
        <w:pStyle w:val="6"/>
        <w:bidi w:val="0"/>
        <w:rPr>
          <w:lang w:val="zh-CN" w:eastAsia="zh-CN"/>
        </w:rPr>
      </w:pPr>
      <w:r>
        <w:rPr>
          <w:lang w:val="zh-CN" w:eastAsia="zh-CN"/>
        </w:rPr>
        <w:t>宣传杆与指挥调度联调</w:t>
      </w:r>
    </w:p>
    <w:p w14:paraId="038274BA">
      <w:pPr>
        <w:ind w:firstLine="480"/>
        <w:rPr>
          <w:rFonts w:hint="default"/>
        </w:rPr>
      </w:pPr>
      <w:r>
        <w:rPr>
          <w:rFonts w:hint="default"/>
        </w:rPr>
        <w:t>联调内容：指挥平台远程切换宣传杆播放模式（日常/应急）；宣传杆感应触发事件上报至指挥平台；指挥平台根据火险等级调整宣传杆播报频率。</w:t>
      </w:r>
    </w:p>
    <w:p w14:paraId="3E488C79">
      <w:pPr>
        <w:pStyle w:val="5"/>
        <w:bidi w:val="0"/>
        <w:rPr>
          <w:lang w:val="zh-CN" w:eastAsia="zh-CN"/>
        </w:rPr>
      </w:pPr>
      <w:r>
        <w:rPr>
          <w:lang w:val="zh-CN" w:eastAsia="zh-CN"/>
        </w:rPr>
        <w:t>外部系统联调阶段（周期：</w:t>
      </w:r>
      <w:r>
        <w:rPr>
          <w:rFonts w:hint="eastAsia"/>
          <w:lang w:val="en-US" w:eastAsia="zh-CN"/>
        </w:rPr>
        <w:t>10</w:t>
      </w:r>
      <w:r>
        <w:rPr>
          <w:lang w:val="zh-CN" w:eastAsia="zh-CN"/>
        </w:rPr>
        <w:t>天）</w:t>
      </w:r>
    </w:p>
    <w:p w14:paraId="03FE5BD8">
      <w:pPr>
        <w:pStyle w:val="6"/>
        <w:bidi w:val="0"/>
        <w:rPr>
          <w:lang w:val="zh-CN" w:eastAsia="zh-CN"/>
        </w:rPr>
      </w:pPr>
      <w:r>
        <w:rPr>
          <w:lang w:val="zh-CN" w:eastAsia="zh-CN"/>
        </w:rPr>
        <w:t>对接联调（国家/省级平台）</w:t>
      </w:r>
    </w:p>
    <w:p w14:paraId="0F31F21B">
      <w:pPr>
        <w:ind w:firstLine="480"/>
      </w:pPr>
      <w:r>
        <w:rPr>
          <w:rFonts w:hint="default"/>
        </w:rPr>
        <w:t>联调内容：火情预警数据、应急资源数据、处置结果数据向上级平台上报；上级平台调度指令接收与执行。</w:t>
      </w:r>
    </w:p>
    <w:p w14:paraId="464BB898">
      <w:pPr>
        <w:pStyle w:val="6"/>
        <w:bidi w:val="0"/>
        <w:rPr>
          <w:lang w:val="zh-CN" w:eastAsia="zh-CN"/>
        </w:rPr>
      </w:pPr>
      <w:r>
        <w:rPr>
          <w:lang w:val="zh-CN" w:eastAsia="zh-CN"/>
        </w:rPr>
        <w:t>横向对接联调（气象/自然资源/公安）</w:t>
      </w:r>
    </w:p>
    <w:p w14:paraId="714DAAA0">
      <w:pPr>
        <w:ind w:firstLine="480"/>
      </w:pPr>
      <w:r>
        <w:rPr>
          <w:rFonts w:hint="default"/>
        </w:rPr>
        <w:t>联调内容：气象数据（温度、湿度、风向风速）接入指挥平台；地理信息（林相图、地形图）同步至GIS平台；公安视频监控资源调取。</w:t>
      </w:r>
    </w:p>
    <w:p w14:paraId="241AB1D9">
      <w:pPr>
        <w:pStyle w:val="4"/>
        <w:rPr>
          <w:lang w:val="en-US"/>
        </w:rPr>
      </w:pPr>
      <w:bookmarkStart w:id="230" w:name="_Toc29915"/>
      <w:r>
        <w:rPr>
          <w:lang w:val="en-US"/>
        </w:rPr>
        <w:t>调试与联调环境准备</w:t>
      </w:r>
      <w:bookmarkEnd w:id="230"/>
    </w:p>
    <w:p w14:paraId="75486764">
      <w:pPr>
        <w:pStyle w:val="5"/>
        <w:numPr>
          <w:ilvl w:val="3"/>
          <w:numId w:val="17"/>
        </w:numPr>
        <w:bidi w:val="0"/>
        <w:outlineLvl w:val="3"/>
      </w:pPr>
      <w:r>
        <w:t>软件部署与配置</w:t>
      </w:r>
    </w:p>
    <w:p w14:paraId="11130FEF">
      <w:pPr>
        <w:ind w:firstLine="480"/>
      </w:pPr>
      <w:r>
        <w:rPr>
          <w:rFonts w:hint="default"/>
        </w:rPr>
        <w:t>部署各子系统软件、数据库、中间件，确保版本一致且为正式发布版。软件部署按照相关标准规范进行，确保软件的安装、配置、启动与关闭等操作正常；数据库采用高性能的关系型数据库或非关系型数据库，确保数据的存储、查询、更新与备份等操作高效稳定；中间件采用成熟的消息中间件、应用服务器中间件等，确保系统的通信、协作与扩展等功能正常。</w:t>
      </w:r>
    </w:p>
    <w:p w14:paraId="70B3869F">
      <w:pPr>
        <w:pStyle w:val="5"/>
        <w:numPr>
          <w:ilvl w:val="3"/>
          <w:numId w:val="17"/>
        </w:numPr>
        <w:bidi w:val="0"/>
        <w:outlineLvl w:val="3"/>
      </w:pPr>
      <w:r>
        <w:t>测试数据准备</w:t>
      </w:r>
    </w:p>
    <w:p w14:paraId="48DCAE6B">
      <w:pPr>
        <w:ind w:firstLine="480"/>
      </w:pPr>
      <w:r>
        <w:rPr>
          <w:rFonts w:hint="default"/>
        </w:rPr>
        <w:t>准备测试数据，包括模拟火情告警、气象数据、应急资源信息、用户权限数据等。模拟火情告警数据按照实际火情的特点进行生成，包括火点位置、火势大小等信息；气象数据按照实际气象情况进行生成，包括温度、湿度、风向风速等信息；应急资源信息按照实际应急资源的分布情况进行生成，包括救援队伍、物资装备、水源、道路等信息；用户权限数据按照实际用户的权限进行生成，包括管理员、操作员、普通用户等不同权限的用户信息。</w:t>
      </w:r>
    </w:p>
    <w:p w14:paraId="3FB74498">
      <w:pPr>
        <w:pStyle w:val="4"/>
        <w:numPr>
          <w:ilvl w:val="2"/>
          <w:numId w:val="17"/>
        </w:numPr>
        <w:bidi w:val="0"/>
        <w:rPr>
          <w:lang w:val="en-US"/>
        </w:rPr>
      </w:pPr>
      <w:bookmarkStart w:id="231" w:name="_Toc18691"/>
      <w:r>
        <w:rPr>
          <w:lang w:val="en-US"/>
        </w:rPr>
        <w:t>问题管理与风险控制</w:t>
      </w:r>
      <w:bookmarkEnd w:id="231"/>
    </w:p>
    <w:p w14:paraId="00D2DAFE">
      <w:pPr>
        <w:pStyle w:val="5"/>
        <w:numPr>
          <w:ilvl w:val="3"/>
          <w:numId w:val="17"/>
        </w:numPr>
        <w:bidi w:val="0"/>
      </w:pPr>
      <w:r>
        <w:t>问题管理流程</w:t>
      </w:r>
    </w:p>
    <w:p w14:paraId="2BB96FDD">
      <w:pPr>
        <w:ind w:firstLine="480"/>
      </w:pPr>
      <w:r>
        <w:rPr>
          <w:rFonts w:hint="eastAsia"/>
          <w:lang w:val="en-US" w:eastAsia="zh-CN"/>
        </w:rPr>
        <w:t>1.</w:t>
      </w:r>
      <w:r>
        <w:t>问题发现</w:t>
      </w:r>
    </w:p>
    <w:p w14:paraId="20876DFD">
      <w:pPr>
        <w:ind w:firstLine="480"/>
      </w:pPr>
      <w:r>
        <w:rPr>
          <w:rFonts w:hint="default"/>
        </w:rPr>
        <w:t>在调试过程中，采用人工测试、自动化测试、用户反馈等方式发现问题。人工测试主要由联调工作组的人员按照测试用例进行测试，发现系统的功能、性能、兼容性等问题；自动化测试主要采用自动化测试工具对系统进行测试，发现系统的稳定性、可靠性、安全性等问题；用户反馈主要由实际用户在使用过程中发现问题，并及时反馈给联调工作组。</w:t>
      </w:r>
    </w:p>
    <w:p w14:paraId="7C0E2E65">
      <w:pPr>
        <w:ind w:firstLine="480"/>
      </w:pPr>
      <w:r>
        <w:rPr>
          <w:rFonts w:hint="eastAsia"/>
          <w:lang w:val="en-US" w:eastAsia="zh-CN"/>
        </w:rPr>
        <w:t>2.</w:t>
      </w:r>
      <w:r>
        <w:t>问题分析</w:t>
      </w:r>
    </w:p>
    <w:p w14:paraId="6B68DEB4">
      <w:pPr>
        <w:ind w:firstLine="480"/>
      </w:pPr>
      <w:r>
        <w:rPr>
          <w:rFonts w:hint="default"/>
        </w:rPr>
        <w:t>对发现的问题进行详细的分析，确定问题的原因、影响范围与严重程度。问题分析采用头脑风暴、鱼骨图、5Why分析法等方法，从人员、流程、技术、设备等方面进行分析，找出问题的根本原因。</w:t>
      </w:r>
    </w:p>
    <w:p w14:paraId="38D3720F">
      <w:pPr>
        <w:ind w:firstLine="480"/>
      </w:pPr>
      <w:r>
        <w:rPr>
          <w:rFonts w:hint="eastAsia"/>
          <w:lang w:val="en-US" w:eastAsia="zh-CN"/>
        </w:rPr>
        <w:t>3.</w:t>
      </w:r>
      <w:r>
        <w:t>问题解决</w:t>
      </w:r>
    </w:p>
    <w:p w14:paraId="2B64260A">
      <w:pPr>
        <w:ind w:firstLine="480"/>
      </w:pPr>
      <w:r>
        <w:rPr>
          <w:rFonts w:hint="default"/>
        </w:rPr>
        <w:t>根据问题分析的结果，制定解决方案并组织实施。解决方案由联调工作组的人员共同制定，确保解决方案的可行性、有效性与经济性。问题解决过程中，要及时跟踪问题的解决进度，确保问题得到及时解决。</w:t>
      </w:r>
    </w:p>
    <w:p w14:paraId="5B37CC07">
      <w:pPr>
        <w:ind w:firstLine="480"/>
      </w:pPr>
      <w:r>
        <w:rPr>
          <w:rFonts w:hint="eastAsia"/>
          <w:lang w:val="en-US" w:eastAsia="zh-CN"/>
        </w:rPr>
        <w:t>4.</w:t>
      </w:r>
      <w:r>
        <w:t>问题归档</w:t>
      </w:r>
    </w:p>
    <w:p w14:paraId="76D115EA">
      <w:pPr>
        <w:ind w:firstLine="480"/>
      </w:pPr>
      <w:r>
        <w:rPr>
          <w:rFonts w:hint="default"/>
        </w:rPr>
        <w:t>将问题及解决方案进行归档，形成知识库，为后续项目提供参考。知识库采用文档管理系统进行管理，确保知识库的安全性、可访问性与可维护性。</w:t>
      </w:r>
    </w:p>
    <w:p w14:paraId="78642920">
      <w:pPr>
        <w:pStyle w:val="5"/>
        <w:numPr>
          <w:ilvl w:val="3"/>
          <w:numId w:val="17"/>
        </w:numPr>
        <w:bidi w:val="0"/>
      </w:pPr>
      <w:r>
        <w:t>风险控制措施</w:t>
      </w:r>
    </w:p>
    <w:p w14:paraId="6E6757CA">
      <w:pPr>
        <w:ind w:firstLine="480"/>
      </w:pPr>
      <w:r>
        <w:rPr>
          <w:rFonts w:hint="eastAsia"/>
          <w:lang w:val="en-US" w:eastAsia="zh-CN"/>
        </w:rPr>
        <w:t>1.</w:t>
      </w:r>
      <w:r>
        <w:t>技术风险控制</w:t>
      </w:r>
    </w:p>
    <w:p w14:paraId="0EF202AA">
      <w:pPr>
        <w:ind w:firstLine="480"/>
      </w:pPr>
      <w:r>
        <w:rPr>
          <w:rFonts w:hint="default"/>
        </w:rPr>
        <w:t>提前准备备用设备、软件版本，针对关键接口制定应急预案。备用设备、软件版本要与实际部署的设备、软件版本保持一致，确保在出现设备故障、软件故障时能够及时替换；关键接口的应急预案要明确应急处置流程、责任人员与联系方式，确保在出现接口故障时能够及时恢复。</w:t>
      </w:r>
    </w:p>
    <w:p w14:paraId="2FDCF93B">
      <w:pPr>
        <w:ind w:firstLine="480"/>
      </w:pPr>
      <w:r>
        <w:rPr>
          <w:rFonts w:hint="eastAsia"/>
          <w:lang w:val="en-US" w:eastAsia="zh-CN"/>
        </w:rPr>
        <w:t>2.</w:t>
      </w:r>
      <w:r>
        <w:t>进度风险控制</w:t>
      </w:r>
    </w:p>
    <w:p w14:paraId="670CA1B2">
      <w:pPr>
        <w:ind w:firstLine="480"/>
      </w:pPr>
      <w:r>
        <w:rPr>
          <w:rFonts w:hint="default"/>
        </w:rPr>
        <w:t>制定详细的调试计划，明确各阶段时间节点，定期召开进度会议，及时调整计划。调试计划要合理安排各阶段的工作内容与时间，确保项目按时完成；进度会议每周召开一次，及时汇报项目进度、解决存在的问题；当项目进度出现延迟时，要及时分析原因，采取有效措施进行调整，确保项目能够按时交付。</w:t>
      </w:r>
    </w:p>
    <w:p w14:paraId="1DAD2584">
      <w:pPr>
        <w:ind w:firstLine="480"/>
      </w:pPr>
      <w:r>
        <w:rPr>
          <w:rFonts w:hint="eastAsia"/>
          <w:lang w:val="en-US" w:eastAsia="zh-CN"/>
        </w:rPr>
        <w:t>3.</w:t>
      </w:r>
      <w:r>
        <w:t>协调风险控制</w:t>
      </w:r>
    </w:p>
    <w:p w14:paraId="0EFB1F8D">
      <w:pPr>
        <w:ind w:firstLine="480"/>
      </w:pPr>
      <w:r>
        <w:rPr>
          <w:rFonts w:hint="default"/>
        </w:rPr>
        <w:t>建立跨部门沟通机制，明确对接责任人，定期召开联调协调会，解决对接过程中的问题。跨部门沟通机制要明确沟通方式、沟通频率与沟通内容，确保各部门之间的信息畅通；对接责任人要明确对接职责与联系方式，确保在对接过程中能够及时沟通、解决问题；联调协调会每周召开一次，及时汇报对接进度、解决存在的问题。</w:t>
      </w:r>
    </w:p>
    <w:p w14:paraId="5C0FB235">
      <w:pPr>
        <w:pStyle w:val="4"/>
        <w:numPr>
          <w:ilvl w:val="2"/>
          <w:numId w:val="17"/>
        </w:numPr>
        <w:bidi w:val="0"/>
        <w:rPr>
          <w:lang w:val="en-US"/>
        </w:rPr>
      </w:pPr>
      <w:bookmarkStart w:id="232" w:name="_Toc8710"/>
      <w:r>
        <w:rPr>
          <w:lang w:val="en-US"/>
        </w:rPr>
        <w:t>验收标准</w:t>
      </w:r>
      <w:bookmarkEnd w:id="232"/>
    </w:p>
    <w:p w14:paraId="02982EB1">
      <w:pPr>
        <w:pStyle w:val="5"/>
        <w:numPr>
          <w:ilvl w:val="3"/>
          <w:numId w:val="17"/>
        </w:numPr>
        <w:bidi w:val="0"/>
      </w:pPr>
      <w:r>
        <w:t>功能验收</w:t>
      </w:r>
    </w:p>
    <w:p w14:paraId="24B1D962">
      <w:pPr>
        <w:ind w:firstLine="480"/>
      </w:pPr>
      <w:r>
        <w:rPr>
          <w:rFonts w:hint="default"/>
        </w:rPr>
        <w:t>所有系统功能满足设计要求，跨系统联动业务流程闭环，外部接口对接成功，数据共享正常。具体包括：各子系统的功能符合设计文档的要求；跨系统联动业务流程能够正常运行，形成“监测-预警-处置-评估”的完整业务闭环；外部接口对接成功，能够实现与上级平台、气象/自然资源/公安等部门系统的数据共享。</w:t>
      </w:r>
    </w:p>
    <w:p w14:paraId="5584FEB6">
      <w:pPr>
        <w:pStyle w:val="5"/>
        <w:numPr>
          <w:ilvl w:val="3"/>
          <w:numId w:val="17"/>
        </w:numPr>
        <w:bidi w:val="0"/>
      </w:pPr>
      <w:r>
        <w:t>性能验收</w:t>
      </w:r>
    </w:p>
    <w:p w14:paraId="6196D048">
      <w:pPr>
        <w:ind w:firstLine="480"/>
      </w:pPr>
      <w:r>
        <w:rPr>
          <w:rFonts w:hint="default"/>
        </w:rPr>
        <w:t>系统响应时间、系统稳定性、数据传输可靠性、系统兼容性等性能指标满足要求。具体包括：系统响应时间（视频监控回传延迟≤2秒，告警推送时间≤3秒，指挥指令响应时间≤1秒）；系统稳定性（连续运行72小时无故障，数据处理能力满足业务峰值需求）；数据传输可靠性（数据传输准确率≥99.9%）；系统兼容性（兼容不同厂商的设备、不同版本的软件）等。</w:t>
      </w:r>
    </w:p>
    <w:p w14:paraId="1A57852E">
      <w:pPr>
        <w:pStyle w:val="5"/>
        <w:numPr>
          <w:ilvl w:val="3"/>
          <w:numId w:val="17"/>
        </w:numPr>
        <w:bidi w:val="0"/>
      </w:pPr>
      <w:r>
        <w:t>文档验收</w:t>
      </w:r>
    </w:p>
    <w:p w14:paraId="10762304">
      <w:pPr>
        <w:ind w:firstLine="480"/>
      </w:pPr>
      <w:r>
        <w:rPr>
          <w:rFonts w:hint="default"/>
        </w:rPr>
        <w:t>提交调试报告、联调报告、问题处理记录、操作手册、维护手册等文档，内容完整、准确。具体包括：调试报告详细记录了单系统调试的过程、结果与问题处理情况；联调报告详细记录了跨系统联调、外部系统联调的过程、结果与问题处理情况；问题处理记录详细记录了问题的发现、分析、解决与归档情况；操作手册详细介绍了系统的功能、操作方法与注意事项；维护手册详细介绍了系统的维护方法、故障排除与应急预案等内容。</w:t>
      </w:r>
    </w:p>
    <w:p w14:paraId="61F0BC28">
      <w:pPr>
        <w:pStyle w:val="4"/>
        <w:numPr>
          <w:ilvl w:val="2"/>
          <w:numId w:val="17"/>
        </w:numPr>
        <w:bidi w:val="0"/>
      </w:pPr>
      <w:bookmarkStart w:id="233" w:name="_Toc11704"/>
      <w:r>
        <w:t>保障措施</w:t>
      </w:r>
      <w:bookmarkEnd w:id="233"/>
    </w:p>
    <w:p w14:paraId="58F429FB">
      <w:pPr>
        <w:pStyle w:val="5"/>
        <w:numPr>
          <w:ilvl w:val="3"/>
          <w:numId w:val="17"/>
        </w:numPr>
        <w:bidi w:val="0"/>
      </w:pPr>
      <w:r>
        <w:t>人员保障</w:t>
      </w:r>
    </w:p>
    <w:p w14:paraId="5A005B63">
      <w:pPr>
        <w:ind w:firstLine="480"/>
      </w:pPr>
      <w:r>
        <w:rPr>
          <w:rFonts w:hint="default"/>
        </w:rPr>
        <w:t>安排专人负责调试与联调工作，确保人员稳定，具备相应技术能力。联调工作组的人员要经过严格的选拔与培训，具备丰富的调试与联调经验、扎实的技术功底与良好的沟通能力；人员要保持稳定，确保调试与联调工作的连续性与稳定性；要定期对人员进行培训，提高人员的技术水平与业务能力。</w:t>
      </w:r>
    </w:p>
    <w:p w14:paraId="761A9D47">
      <w:pPr>
        <w:pStyle w:val="5"/>
        <w:numPr>
          <w:ilvl w:val="3"/>
          <w:numId w:val="17"/>
        </w:numPr>
        <w:bidi w:val="0"/>
      </w:pPr>
      <w:r>
        <w:t>时间保障</w:t>
      </w:r>
    </w:p>
    <w:p w14:paraId="6EE29875">
      <w:pPr>
        <w:ind w:firstLine="480"/>
      </w:pPr>
      <w:r>
        <w:rPr>
          <w:rFonts w:hint="default"/>
        </w:rPr>
        <w:t>合理安排调试与联调时间，避免与项目其他阶段冲突，确保按时完成。调试与联调时间要与项目的总体进度计划相匹配，避免与设备安装、软件开发、用户培训等阶段冲突；要制定详细的调试与联调计划，明确各阶段的时间节点与工作内容，确保调试与联调工作按时完成。</w:t>
      </w:r>
    </w:p>
    <w:p w14:paraId="5320F67A">
      <w:pPr>
        <w:pStyle w:val="5"/>
        <w:numPr>
          <w:ilvl w:val="3"/>
          <w:numId w:val="17"/>
        </w:numPr>
        <w:bidi w:val="0"/>
        <w:rPr>
          <w:rFonts w:hint="default"/>
        </w:rPr>
      </w:pPr>
      <w:r>
        <w:rPr>
          <w:rFonts w:hint="default"/>
        </w:rPr>
        <w:t>沟通保障</w:t>
      </w:r>
    </w:p>
    <w:p w14:paraId="608E4AEF">
      <w:pPr>
        <w:ind w:firstLine="480"/>
      </w:pPr>
      <w:r>
        <w:rPr>
          <w:rFonts w:hint="default"/>
        </w:rPr>
        <w:t>建立有效的沟通机制，及时协调解决调试过程中的问题，确保信息畅通。跨部门沟通机制要明确沟通方式、沟通频率与沟通内容，确保各部门之间的信息畅通；联调协调会要定期召开，及时汇报调试进度、解决存在的问题；要建立问题反馈机制，及时收集用户反馈的问题并进行解决。</w:t>
      </w:r>
    </w:p>
    <w:p w14:paraId="0DF5B78E">
      <w:pPr>
        <w:pStyle w:val="5"/>
        <w:numPr>
          <w:ilvl w:val="3"/>
          <w:numId w:val="17"/>
        </w:numPr>
        <w:bidi w:val="0"/>
        <w:rPr>
          <w:rFonts w:hint="default"/>
        </w:rPr>
      </w:pPr>
      <w:r>
        <w:rPr>
          <w:rFonts w:hint="default"/>
        </w:rPr>
        <w:t>8安全保障</w:t>
      </w:r>
    </w:p>
    <w:p w14:paraId="2BC696E0">
      <w:pPr>
        <w:ind w:firstLine="480"/>
      </w:pPr>
      <w:r>
        <w:rPr>
          <w:rFonts w:hint="default"/>
        </w:rPr>
        <w:t>制定安全管理制度，加强系统的安全防护，确保系统的安全性与可靠性。安全管理制度要包括网络安全、数据安全、设备安全、人员安全等方面的内容；要采用防火墙、入侵检测系统、数据加密等技术手段，加强系统的安全防护；要定期对系统进行安全评估与漏洞扫描，及时发现并修复安全漏洞；要加强对人员的安全培训，提高人员的安全意识与防范能力。</w:t>
      </w:r>
    </w:p>
    <w:p w14:paraId="51CC5E93">
      <w:pPr>
        <w:ind w:firstLine="480"/>
      </w:pPr>
      <w:r>
        <w:rPr>
          <w:rFonts w:hint="default"/>
        </w:rPr>
        <w:t>通过本方案的实施，能够确保岳阳市森林火灾高风险区综合治理信息化系统的调试与联调工作顺利完成，实现各子系统及跨层级、跨部门系统间的互联互通、数据共享与业务协同，为岳阳市森林火灾的监测、预警、处置与评估提供有力的技术支持，有效提升岳阳市森林火灾高风险区的综合治理能力，保护森林资源、生态环境与人民生命财产安全。</w:t>
      </w:r>
    </w:p>
    <w:p w14:paraId="7FCFF297">
      <w:pPr>
        <w:pStyle w:val="3"/>
        <w:numPr>
          <w:ilvl w:val="1"/>
          <w:numId w:val="17"/>
        </w:numPr>
        <w:rPr>
          <w:rFonts w:hint="eastAsia"/>
          <w:lang w:val="en-US"/>
        </w:rPr>
      </w:pPr>
      <w:bookmarkStart w:id="234" w:name="_Toc16607"/>
      <w:r>
        <w:rPr>
          <w:rFonts w:hint="default"/>
          <w:lang w:val="en-US"/>
        </w:rPr>
        <w:t>林区施工安全与生态保护专项方案</w:t>
      </w:r>
      <w:bookmarkEnd w:id="234"/>
    </w:p>
    <w:p w14:paraId="7B055BB1">
      <w:pPr>
        <w:pStyle w:val="4"/>
        <w:numPr>
          <w:ilvl w:val="2"/>
          <w:numId w:val="17"/>
        </w:numPr>
        <w:bidi w:val="0"/>
        <w:rPr>
          <w:rFonts w:hint="default"/>
          <w:lang w:val="en-US"/>
        </w:rPr>
      </w:pPr>
      <w:bookmarkStart w:id="235" w:name="_Toc13668"/>
      <w:r>
        <w:rPr>
          <w:rFonts w:hint="default"/>
          <w:lang w:val="en-US"/>
        </w:rPr>
        <w:t>森林防火“七个严禁”</w:t>
      </w:r>
      <w:bookmarkEnd w:id="235"/>
    </w:p>
    <w:p w14:paraId="0E6F012C">
      <w:pPr>
        <w:pStyle w:val="5"/>
        <w:numPr>
          <w:ilvl w:val="3"/>
          <w:numId w:val="17"/>
        </w:numPr>
        <w:bidi w:val="0"/>
        <w:rPr>
          <w:rFonts w:hint="default"/>
          <w:lang w:val="en-US"/>
        </w:rPr>
      </w:pPr>
      <w:r>
        <w:rPr>
          <w:rFonts w:hint="default"/>
          <w:lang w:val="en-US"/>
        </w:rPr>
        <w:t>严禁野外吸烟、用火</w:t>
      </w:r>
    </w:p>
    <w:p w14:paraId="6E94D6F5">
      <w:pPr>
        <w:ind w:firstLine="480"/>
        <w:rPr>
          <w:rFonts w:hint="default"/>
          <w:lang w:val="en-US"/>
        </w:rPr>
      </w:pPr>
      <w:r>
        <w:rPr>
          <w:rFonts w:hint="default"/>
          <w:lang w:val="en-US"/>
        </w:rPr>
        <w:t>施工人员进入林区后，严禁在任何区域吸烟、生火取暖、野炊等一切野外用火行为。施工现场设置专门的吸烟区，吸烟区需距离林地边缘不少于50米，并配备防火沙箱、灭火器等消防器材。施工人员吸烟必须到指定区域，吸烟后要将烟头彻底熄灭并放入专用烟灰缸，严禁随意丢弃。</w:t>
      </w:r>
    </w:p>
    <w:p w14:paraId="46B87B73">
      <w:pPr>
        <w:pStyle w:val="5"/>
        <w:numPr>
          <w:ilvl w:val="3"/>
          <w:numId w:val="17"/>
        </w:numPr>
        <w:bidi w:val="0"/>
        <w:rPr>
          <w:rFonts w:hint="default"/>
          <w:lang w:val="en-US"/>
        </w:rPr>
      </w:pPr>
      <w:r>
        <w:rPr>
          <w:rFonts w:hint="default"/>
          <w:lang w:val="en-US"/>
        </w:rPr>
        <w:t>严禁无审批动火作业</w:t>
      </w:r>
    </w:p>
    <w:p w14:paraId="1AE95C83">
      <w:pPr>
        <w:ind w:firstLine="480"/>
        <w:rPr>
          <w:rFonts w:hint="default"/>
          <w:lang w:val="en-US"/>
        </w:rPr>
      </w:pPr>
      <w:r>
        <w:rPr>
          <w:rFonts w:hint="default"/>
          <w:lang w:val="en-US"/>
        </w:rPr>
        <w:t>所有涉及动火的作业，如焊接、切割、焚烧等，必须提前向施工项目部和当地林业主管部门申请办理《动火作业许可证》。申请时需提交动火作业方案、防火措施、应急处置预案等材料，经审核批准后方可进行动火作业。严禁无审批擅自进行动火作业，违者将严肃处理。</w:t>
      </w:r>
    </w:p>
    <w:p w14:paraId="37A49F1E">
      <w:pPr>
        <w:pStyle w:val="5"/>
        <w:numPr>
          <w:ilvl w:val="3"/>
          <w:numId w:val="17"/>
        </w:numPr>
        <w:bidi w:val="0"/>
        <w:rPr>
          <w:rFonts w:hint="default"/>
          <w:lang w:val="en-US"/>
        </w:rPr>
      </w:pPr>
      <w:r>
        <w:rPr>
          <w:rFonts w:hint="default"/>
          <w:lang w:val="en-US"/>
        </w:rPr>
        <w:t>严禁携带火种进入林区</w:t>
      </w:r>
    </w:p>
    <w:p w14:paraId="26F30F3D">
      <w:pPr>
        <w:ind w:firstLine="480"/>
        <w:rPr>
          <w:rFonts w:hint="default"/>
          <w:lang w:val="en-US"/>
        </w:rPr>
      </w:pPr>
      <w:r>
        <w:rPr>
          <w:rFonts w:hint="default"/>
          <w:lang w:val="en-US"/>
        </w:rPr>
        <w:t>施工人员、管理人员、访客等所有进入林区的人员，严禁携带火种、易燃易爆物品进入林区。施工现场入口处设置火种存放点，所有进入人员需将火种存放在指定位置，离开时再取回。对进入林区的车辆进行检查，确保车辆排气管安装防火罩，防止火星飞溅引发火灾。</w:t>
      </w:r>
    </w:p>
    <w:p w14:paraId="60DB0CEB">
      <w:pPr>
        <w:pStyle w:val="5"/>
        <w:numPr>
          <w:ilvl w:val="3"/>
          <w:numId w:val="17"/>
        </w:numPr>
        <w:bidi w:val="0"/>
        <w:rPr>
          <w:rFonts w:hint="default"/>
          <w:lang w:val="en-US"/>
        </w:rPr>
      </w:pPr>
      <w:r>
        <w:rPr>
          <w:rFonts w:hint="default"/>
          <w:lang w:val="en-US"/>
        </w:rPr>
        <w:t>严禁焚烧垃圾、杂草</w:t>
      </w:r>
    </w:p>
    <w:p w14:paraId="0B067ACB">
      <w:pPr>
        <w:ind w:firstLine="480"/>
        <w:rPr>
          <w:rFonts w:hint="default"/>
          <w:lang w:val="en-US"/>
        </w:rPr>
      </w:pPr>
      <w:r>
        <w:rPr>
          <w:rFonts w:hint="default"/>
          <w:lang w:val="en-US"/>
        </w:rPr>
        <w:t>施工现场的垃圾、杂草等可燃物，严禁就地焚烧。需设置专门的垃圾存放区，定期将垃圾清运至指定的垃圾处理场所进行处理。如需清理杂草等可燃物，可采用机械清理、人工搬运等方式，清理出的可燃物要及时运离施工区域，集中进行无害化处理。</w:t>
      </w:r>
    </w:p>
    <w:p w14:paraId="79BF5770">
      <w:pPr>
        <w:pStyle w:val="5"/>
        <w:numPr>
          <w:ilvl w:val="3"/>
          <w:numId w:val="17"/>
        </w:numPr>
        <w:bidi w:val="0"/>
        <w:rPr>
          <w:rFonts w:hint="default"/>
          <w:lang w:val="en-US"/>
        </w:rPr>
      </w:pPr>
      <w:r>
        <w:rPr>
          <w:rFonts w:hint="default"/>
          <w:lang w:val="en-US"/>
        </w:rPr>
        <w:t>严禁擅自扩大施工范围</w:t>
      </w:r>
    </w:p>
    <w:p w14:paraId="3E952029">
      <w:pPr>
        <w:ind w:firstLine="480"/>
        <w:rPr>
          <w:rFonts w:hint="default"/>
          <w:lang w:val="en-US"/>
        </w:rPr>
      </w:pPr>
      <w:r>
        <w:rPr>
          <w:rFonts w:hint="default"/>
          <w:lang w:val="en-US"/>
        </w:rPr>
        <w:t>施工过程中，必须严格按照批准的施工方案和施工图纸进行施工，严禁擅自扩大施工范围。如需调整施工范围，需重新向相关部门申请审批，经批准后方可进行调整。擅自扩大施工范围可能会破坏森林植被、防火隔离带等，增加火灾风险，同时也会对生态环境造成破坏。</w:t>
      </w:r>
    </w:p>
    <w:p w14:paraId="15CBBC03">
      <w:pPr>
        <w:pStyle w:val="5"/>
        <w:numPr>
          <w:ilvl w:val="3"/>
          <w:numId w:val="17"/>
        </w:numPr>
        <w:bidi w:val="0"/>
        <w:rPr>
          <w:rFonts w:hint="default"/>
          <w:lang w:val="en-US"/>
        </w:rPr>
      </w:pPr>
      <w:r>
        <w:rPr>
          <w:rFonts w:hint="default"/>
          <w:lang w:val="en-US"/>
        </w:rPr>
        <w:t>严禁破坏防火隔离带</w:t>
      </w:r>
    </w:p>
    <w:p w14:paraId="04C6B4B9">
      <w:pPr>
        <w:ind w:firstLine="480"/>
        <w:rPr>
          <w:rFonts w:hint="default"/>
          <w:lang w:val="en-US"/>
        </w:rPr>
      </w:pPr>
      <w:r>
        <w:rPr>
          <w:rFonts w:hint="default"/>
          <w:lang w:val="en-US"/>
        </w:rPr>
        <w:t>防火隔离带是防止森林火灾蔓延的重要设施，施工过程中严禁破坏防火隔离带。不得在防火隔离带内堆放杂物、搭建临时设施、进行施工活动等。如因施工需要必须临时占用防火隔离带，需提前制定防护方案，经林业主管部门批准后，采取有效的防火措施，并在施工结束后及时恢复防火隔离带的原状。</w:t>
      </w:r>
    </w:p>
    <w:p w14:paraId="44906290">
      <w:pPr>
        <w:pStyle w:val="5"/>
        <w:numPr>
          <w:ilvl w:val="3"/>
          <w:numId w:val="17"/>
        </w:numPr>
        <w:bidi w:val="0"/>
        <w:rPr>
          <w:rFonts w:hint="default"/>
          <w:lang w:val="en-US"/>
        </w:rPr>
      </w:pPr>
      <w:r>
        <w:rPr>
          <w:rFonts w:hint="default"/>
          <w:lang w:val="en-US"/>
        </w:rPr>
        <w:t>严禁无关人员进入作业区</w:t>
      </w:r>
    </w:p>
    <w:p w14:paraId="7196F501">
      <w:pPr>
        <w:ind w:firstLine="480"/>
        <w:rPr>
          <w:rFonts w:hint="default"/>
          <w:lang w:val="en-US"/>
        </w:rPr>
      </w:pPr>
      <w:r>
        <w:rPr>
          <w:rFonts w:hint="default"/>
          <w:lang w:val="en-US"/>
        </w:rPr>
        <w:t>施工区域设置明显的警示标志和围挡，严禁无关人员进入作业区。如需进入作业区，需经施工项目部批准，并在专人陪同下进入。无关人员进入作业区可能会干扰施工正常进行，增加安全风险，同时也可能会因违规用火、破坏植被等行为引发森林火灾。</w:t>
      </w:r>
    </w:p>
    <w:p w14:paraId="4EBD4286">
      <w:pPr>
        <w:pStyle w:val="4"/>
        <w:numPr>
          <w:ilvl w:val="2"/>
          <w:numId w:val="17"/>
        </w:numPr>
        <w:bidi w:val="0"/>
        <w:rPr>
          <w:rFonts w:hint="default"/>
          <w:lang w:val="en-US"/>
        </w:rPr>
      </w:pPr>
      <w:bookmarkStart w:id="236" w:name="_Toc7126"/>
      <w:r>
        <w:rPr>
          <w:rFonts w:hint="default"/>
          <w:lang w:val="en-US"/>
        </w:rPr>
        <w:t>动火作业管理</w:t>
      </w:r>
      <w:bookmarkEnd w:id="236"/>
    </w:p>
    <w:p w14:paraId="2B085AA2">
      <w:pPr>
        <w:pStyle w:val="5"/>
        <w:numPr>
          <w:ilvl w:val="3"/>
          <w:numId w:val="17"/>
        </w:numPr>
        <w:bidi w:val="0"/>
        <w:rPr>
          <w:rFonts w:hint="default"/>
          <w:lang w:val="en-US"/>
        </w:rPr>
      </w:pPr>
      <w:r>
        <w:rPr>
          <w:rFonts w:hint="default"/>
          <w:lang w:val="en-US"/>
        </w:rPr>
        <w:t>必须办理动火许可证</w:t>
      </w:r>
    </w:p>
    <w:p w14:paraId="6ED9D064">
      <w:pPr>
        <w:ind w:firstLine="480"/>
        <w:rPr>
          <w:rFonts w:hint="default"/>
          <w:lang w:val="en-US"/>
        </w:rPr>
      </w:pPr>
      <w:r>
        <w:rPr>
          <w:rFonts w:hint="default"/>
          <w:lang w:val="en-US"/>
        </w:rPr>
        <w:t>动火作业前，施工单位必须向施工项目部和当地林业主管部门提交动火作业申请，办理《动火作业许可证》。申请材料包括动火作业方案、防火措施、应急处置预案、作业人员资质证明等。相关部门对申请材料进行审核，对动火作业现场进行检查，确认符合安全要求后，颁发《动火作业许可证》。动火作业必须在许可证规定的时间、地点、范围内进行，严禁超范围作业。</w:t>
      </w:r>
    </w:p>
    <w:p w14:paraId="6D3B9A3E">
      <w:pPr>
        <w:pStyle w:val="5"/>
        <w:numPr>
          <w:ilvl w:val="3"/>
          <w:numId w:val="17"/>
        </w:numPr>
        <w:bidi w:val="0"/>
        <w:rPr>
          <w:rFonts w:hint="default"/>
          <w:lang w:val="en-US"/>
        </w:rPr>
      </w:pPr>
      <w:r>
        <w:rPr>
          <w:rFonts w:hint="default"/>
          <w:lang w:val="en-US"/>
        </w:rPr>
        <w:t>必须配备监护人+扑火机具</w:t>
      </w:r>
    </w:p>
    <w:p w14:paraId="3FBB8931">
      <w:pPr>
        <w:ind w:firstLine="480"/>
        <w:rPr>
          <w:rFonts w:hint="default"/>
          <w:lang w:val="en-US"/>
        </w:rPr>
      </w:pPr>
      <w:r>
        <w:rPr>
          <w:rFonts w:hint="default"/>
          <w:lang w:val="en-US"/>
        </w:rPr>
        <w:t>动火作业现场必须配备专人担任监护人，监护人需经过专业培训，熟悉动火作业安全规程和应急处置方法。监护人负责监督动火作业过程，及时发现和消除安全隐患，制止违规操作行为。同时，动火作业现场必须配备足够的扑火机具，如灭火器、防火沙、灭火水枪等，确保在发生火情时能够及时进行扑救。扑火机具要定期检查维护，确保性能完好。</w:t>
      </w:r>
    </w:p>
    <w:p w14:paraId="65ED9B92">
      <w:pPr>
        <w:pStyle w:val="5"/>
        <w:numPr>
          <w:ilvl w:val="3"/>
          <w:numId w:val="17"/>
        </w:numPr>
        <w:bidi w:val="0"/>
        <w:rPr>
          <w:rFonts w:hint="default"/>
          <w:lang w:val="en-US"/>
        </w:rPr>
      </w:pPr>
      <w:r>
        <w:rPr>
          <w:rFonts w:hint="default"/>
          <w:lang w:val="en-US"/>
        </w:rPr>
        <w:t>必须清理周边可燃物</w:t>
      </w:r>
    </w:p>
    <w:p w14:paraId="2E752728">
      <w:pPr>
        <w:ind w:firstLine="480"/>
        <w:rPr>
          <w:rFonts w:hint="default"/>
          <w:lang w:val="en-US"/>
        </w:rPr>
      </w:pPr>
      <w:r>
        <w:rPr>
          <w:rFonts w:hint="default"/>
          <w:lang w:val="en-US"/>
        </w:rPr>
        <w:t>动火作业前，要对作业区域周边的可燃物进行彻底清理，清理范围至少为作业点半径15米以内。清理出的可燃物要及时运离作业区域，集中进行处理。如果作业区域周边有难以清理的可燃物，可采用防火布、防火挡板等进行隔离，防止火星飞溅引发火灾。在动火作业过程中，要随时观察周边情况，如发现有可燃物被引燃，要立即停止作业，进行扑救。</w:t>
      </w:r>
    </w:p>
    <w:p w14:paraId="25F8A83B">
      <w:pPr>
        <w:pStyle w:val="5"/>
        <w:numPr>
          <w:ilvl w:val="3"/>
          <w:numId w:val="17"/>
        </w:numPr>
        <w:bidi w:val="0"/>
        <w:rPr>
          <w:rFonts w:hint="default"/>
          <w:lang w:val="en-US"/>
        </w:rPr>
      </w:pPr>
      <w:r>
        <w:rPr>
          <w:rFonts w:hint="default"/>
          <w:lang w:val="en-US"/>
        </w:rPr>
        <w:t>作业完毕确认无余火方可撤离</w:t>
      </w:r>
    </w:p>
    <w:p w14:paraId="26DFDBFB">
      <w:pPr>
        <w:ind w:firstLine="480"/>
        <w:rPr>
          <w:rFonts w:hint="default"/>
          <w:lang w:val="en-US"/>
        </w:rPr>
      </w:pPr>
      <w:r>
        <w:rPr>
          <w:rFonts w:hint="default"/>
          <w:lang w:val="en-US"/>
        </w:rPr>
        <w:t>动火作业结束后，作业人员要对作业现场进行彻底清理，熄灭所有火源。监护人要对作业现场进行全面检查，确认无余火、无隐患后方可撤离现场。检查内容包括作业点周边是否有未熄灭的火星、可燃物是否被引燃、扑火机具是否完好等。如需在作业现场留守观察，要安排专人负责，留守时间不少于1小时，确保安全无误后再离开。</w:t>
      </w:r>
    </w:p>
    <w:p w14:paraId="4263FFF2">
      <w:pPr>
        <w:pStyle w:val="4"/>
        <w:numPr>
          <w:ilvl w:val="2"/>
          <w:numId w:val="17"/>
        </w:numPr>
        <w:bidi w:val="0"/>
        <w:rPr>
          <w:rFonts w:hint="default"/>
          <w:lang w:val="en-US"/>
        </w:rPr>
      </w:pPr>
      <w:bookmarkStart w:id="237" w:name="_Toc29360"/>
      <w:r>
        <w:rPr>
          <w:rFonts w:hint="default"/>
          <w:lang w:val="en-US"/>
        </w:rPr>
        <w:t>应急处置火情</w:t>
      </w:r>
      <w:bookmarkEnd w:id="237"/>
    </w:p>
    <w:p w14:paraId="0F285142">
      <w:pPr>
        <w:pStyle w:val="5"/>
        <w:numPr>
          <w:ilvl w:val="3"/>
          <w:numId w:val="17"/>
        </w:numPr>
        <w:bidi w:val="0"/>
        <w:rPr>
          <w:rFonts w:hint="default"/>
          <w:lang w:val="en-US"/>
        </w:rPr>
      </w:pPr>
      <w:r>
        <w:rPr>
          <w:rFonts w:hint="eastAsia"/>
          <w:lang w:val="en-US" w:eastAsia="zh-CN"/>
        </w:rPr>
        <w:t>1及时</w:t>
      </w:r>
      <w:r>
        <w:rPr>
          <w:rFonts w:hint="default"/>
          <w:lang w:val="en-US"/>
        </w:rPr>
        <w:t>上报</w:t>
      </w:r>
    </w:p>
    <w:p w14:paraId="1BAC2B5C">
      <w:pPr>
        <w:ind w:firstLine="480"/>
        <w:rPr>
          <w:rFonts w:hint="default"/>
          <w:lang w:val="en-US"/>
        </w:rPr>
      </w:pPr>
      <w:r>
        <w:rPr>
          <w:rFonts w:hint="default"/>
          <w:lang w:val="en-US"/>
        </w:rPr>
        <w:t>一旦发现火情，现场人员必须在1分钟内将火情信息上报至施工项目部值班人员。上报内容包括火情发生的时间、地点、火势大小、燃烧物质、周边环境等情况。值班人员接到火情报告后，要立即向施工项目经理和当地林业主管部门、应急管理部门报告，确保信息及时传递。</w:t>
      </w:r>
    </w:p>
    <w:p w14:paraId="06D549B6">
      <w:pPr>
        <w:pStyle w:val="5"/>
        <w:numPr>
          <w:ilvl w:val="3"/>
          <w:numId w:val="17"/>
        </w:numPr>
        <w:bidi w:val="0"/>
        <w:rPr>
          <w:rFonts w:hint="default"/>
          <w:lang w:val="en-US"/>
        </w:rPr>
      </w:pPr>
      <w:r>
        <w:rPr>
          <w:rFonts w:hint="default"/>
          <w:lang w:val="en-US"/>
        </w:rPr>
        <w:t>3</w:t>
      </w:r>
      <w:r>
        <w:rPr>
          <w:rFonts w:hint="eastAsia"/>
          <w:lang w:val="en-US" w:eastAsia="zh-CN"/>
        </w:rPr>
        <w:t>快速</w:t>
      </w:r>
      <w:r>
        <w:rPr>
          <w:rFonts w:hint="default"/>
          <w:lang w:val="en-US"/>
        </w:rPr>
        <w:t>启动处置</w:t>
      </w:r>
    </w:p>
    <w:p w14:paraId="236802D7">
      <w:pPr>
        <w:ind w:firstLine="480"/>
        <w:rPr>
          <w:rFonts w:hint="default"/>
          <w:lang w:val="en-US"/>
        </w:rPr>
      </w:pPr>
      <w:r>
        <w:rPr>
          <w:rFonts w:hint="default"/>
          <w:lang w:val="en-US"/>
        </w:rPr>
        <w:t>施工项目部接到火情报告后，要在3分钟内启动应急处置预案，组织应急救援队伍赶赴现场进行扑救。应急救援队伍要携带扑火机具、防护装备等，迅速到达火情现场，根据火情情况采取科学有效的扑救措施。同时，要组织人员疏散周边人员，确保人员安全。在扑救过程中，要严格遵守安全操作规程，确保扑火人员的自身安全。</w:t>
      </w:r>
    </w:p>
    <w:p w14:paraId="66395B2F">
      <w:pPr>
        <w:pStyle w:val="5"/>
        <w:numPr>
          <w:ilvl w:val="3"/>
          <w:numId w:val="17"/>
        </w:numPr>
        <w:bidi w:val="0"/>
        <w:rPr>
          <w:rFonts w:hint="default"/>
          <w:lang w:val="en-US"/>
        </w:rPr>
      </w:pPr>
      <w:r>
        <w:rPr>
          <w:rFonts w:hint="default"/>
          <w:lang w:val="en-US"/>
        </w:rPr>
        <w:t>与护林员、乡镇应急联动</w:t>
      </w:r>
    </w:p>
    <w:p w14:paraId="216D12E8">
      <w:pPr>
        <w:ind w:firstLine="480"/>
        <w:rPr>
          <w:rFonts w:hint="default"/>
          <w:lang w:val="en-US"/>
        </w:rPr>
      </w:pPr>
      <w:r>
        <w:rPr>
          <w:rFonts w:hint="default"/>
          <w:lang w:val="en-US"/>
        </w:rPr>
        <w:t>施工项目部要与当地护林员队伍、乡镇应急管理部门建立常态化的联动机制。定期与护林员进行沟通交流，了解林区防火情况和周边环境信息。在发生火情时，及时通知护林员参与扑救工作，护林员熟悉林区地形和植被情况，能够为扑救工作提供有力支持。同时，要与乡镇应急管理部门密切配合，按照统一指挥进行火情处置，形成应急处置合力，提高火情处置效率。</w:t>
      </w:r>
    </w:p>
    <w:p w14:paraId="200B38AC">
      <w:pPr>
        <w:pStyle w:val="4"/>
        <w:numPr>
          <w:ilvl w:val="2"/>
          <w:numId w:val="17"/>
        </w:numPr>
        <w:bidi w:val="0"/>
        <w:rPr>
          <w:rFonts w:hint="default"/>
          <w:lang w:val="en-US"/>
        </w:rPr>
      </w:pPr>
      <w:bookmarkStart w:id="238" w:name="_Toc3328"/>
      <w:r>
        <w:rPr>
          <w:rFonts w:hint="default"/>
          <w:lang w:val="en-US"/>
        </w:rPr>
        <w:t>生态保护</w:t>
      </w:r>
      <w:bookmarkEnd w:id="238"/>
    </w:p>
    <w:p w14:paraId="14863B10">
      <w:pPr>
        <w:pStyle w:val="5"/>
        <w:numPr>
          <w:ilvl w:val="3"/>
          <w:numId w:val="17"/>
        </w:numPr>
        <w:bidi w:val="0"/>
        <w:rPr>
          <w:rFonts w:hint="default"/>
          <w:lang w:val="en-US"/>
        </w:rPr>
      </w:pPr>
      <w:r>
        <w:rPr>
          <w:rFonts w:hint="default"/>
          <w:lang w:val="en-US"/>
        </w:rPr>
        <w:t>施工占地点位</w:t>
      </w:r>
    </w:p>
    <w:p w14:paraId="42715BD6">
      <w:pPr>
        <w:ind w:firstLine="480"/>
        <w:rPr>
          <w:rFonts w:hint="default"/>
          <w:lang w:val="en-US"/>
        </w:rPr>
      </w:pPr>
      <w:r>
        <w:rPr>
          <w:rFonts w:hint="default"/>
          <w:lang w:val="en-US"/>
        </w:rPr>
        <w:t>施工过程中，每个施工点位的占地面积不得超过</w:t>
      </w:r>
      <w:r>
        <w:rPr>
          <w:rFonts w:hint="eastAsia"/>
          <w:lang w:val="en-US" w:eastAsia="zh-CN"/>
        </w:rPr>
        <w:t>，</w:t>
      </w:r>
      <w:r>
        <w:rPr>
          <w:rFonts w:hint="default"/>
          <w:lang w:val="en-US"/>
        </w:rPr>
        <w:t>要严格按照施工方案进行施工，合理规划施工区域，尽量减少对森林植被的破坏。如需设置临时设施、材料堆放区等，要选择在空旷、植被稀少的区域，且占地面积要控制在规定范围内。施工结束后，要及时对施工占地进行清理和恢复，恢复植被生长。</w:t>
      </w:r>
    </w:p>
    <w:p w14:paraId="5287A20B">
      <w:pPr>
        <w:pStyle w:val="5"/>
        <w:numPr>
          <w:ilvl w:val="3"/>
          <w:numId w:val="17"/>
        </w:numPr>
        <w:bidi w:val="0"/>
        <w:rPr>
          <w:rFonts w:hint="default"/>
          <w:lang w:val="en-US"/>
        </w:rPr>
      </w:pPr>
      <w:r>
        <w:rPr>
          <w:rFonts w:hint="default"/>
          <w:lang w:val="en-US"/>
        </w:rPr>
        <w:t>禁止破坏植被、取土、挖砂</w:t>
      </w:r>
    </w:p>
    <w:p w14:paraId="7C44C2E7">
      <w:pPr>
        <w:ind w:firstLine="480"/>
        <w:rPr>
          <w:rFonts w:hint="default"/>
          <w:lang w:val="en-US"/>
        </w:rPr>
      </w:pPr>
      <w:r>
        <w:rPr>
          <w:rFonts w:hint="default"/>
          <w:lang w:val="en-US"/>
        </w:rPr>
        <w:t>施工区域内的森林植被是生态环境的重要组成部分，严禁随意砍伐、破坏植被。施工过程中要采取有效的保护措施，如设置防护栏、覆盖防护网等，防止施工机械、人员对植被造成破坏。同时，禁止在林区内取土、挖砂等行为，如需取土、挖砂，要到指定的地点进行，并按照相关规定进行生态恢复。</w:t>
      </w:r>
    </w:p>
    <w:p w14:paraId="2DFE82F1">
      <w:pPr>
        <w:pStyle w:val="5"/>
        <w:numPr>
          <w:ilvl w:val="3"/>
          <w:numId w:val="17"/>
        </w:numPr>
        <w:bidi w:val="0"/>
        <w:rPr>
          <w:rFonts w:hint="default"/>
          <w:lang w:val="en-US"/>
        </w:rPr>
      </w:pPr>
      <w:r>
        <w:rPr>
          <w:rFonts w:hint="default"/>
          <w:lang w:val="en-US"/>
        </w:rPr>
        <w:t>完工立即覆土、种草恢复</w:t>
      </w:r>
    </w:p>
    <w:p w14:paraId="5FDAB6F1">
      <w:pPr>
        <w:ind w:firstLine="480"/>
        <w:rPr>
          <w:rFonts w:hint="default"/>
          <w:lang w:val="en-US"/>
        </w:rPr>
      </w:pPr>
      <w:r>
        <w:rPr>
          <w:rFonts w:hint="default"/>
          <w:lang w:val="en-US"/>
        </w:rPr>
        <w:t>施工结束后，要立即对施工区域进行清理，清除建筑垃圾、废弃材料等。对施工过程中破坏的土地进行平整，然后进行覆土，覆土厚度要符合植被生长要求。在覆土后的土地上种草、植树，进行生态恢复。选择适合当地生长的草种、树种，确保恢复后的植被能够良好生长，恢复生态环境的功能。</w:t>
      </w:r>
    </w:p>
    <w:p w14:paraId="016CD080">
      <w:pPr>
        <w:pStyle w:val="5"/>
        <w:numPr>
          <w:ilvl w:val="3"/>
          <w:numId w:val="17"/>
        </w:numPr>
        <w:bidi w:val="0"/>
        <w:rPr>
          <w:rFonts w:hint="default"/>
          <w:lang w:val="en-US"/>
        </w:rPr>
      </w:pPr>
      <w:r>
        <w:rPr>
          <w:rFonts w:hint="default"/>
          <w:lang w:val="en-US"/>
        </w:rPr>
        <w:t>垃圾全部清运出林区</w:t>
      </w:r>
    </w:p>
    <w:p w14:paraId="5162C58C">
      <w:pPr>
        <w:ind w:firstLine="480"/>
        <w:rPr>
          <w:rFonts w:hint="default"/>
          <w:lang w:val="en-US"/>
        </w:rPr>
      </w:pPr>
      <w:r>
        <w:rPr>
          <w:rFonts w:hint="default"/>
          <w:lang w:val="en-US"/>
        </w:rPr>
        <w:t>施工现场产生的所有垃圾，包括生活垃圾、建筑垃圾、施工废料等，必须全部清运出林区，严禁在林区内随意丢弃。要设置专门的垃圾收集点，定期将垃圾清运至指定的垃圾处理场所进行处理。垃圾清运过程中要采取密闭运输方式，防止垃圾散落造成二次污染。同时，要对垃圾收集点进行定期消毒，防止滋生细菌、害虫等，影响生态环境和人员健康。</w:t>
      </w:r>
    </w:p>
    <w:p w14:paraId="586BBF27">
      <w:pPr>
        <w:pStyle w:val="4"/>
        <w:numPr>
          <w:ilvl w:val="2"/>
          <w:numId w:val="17"/>
        </w:numPr>
        <w:bidi w:val="0"/>
        <w:rPr>
          <w:rFonts w:hint="default"/>
          <w:lang w:val="en-US"/>
        </w:rPr>
      </w:pPr>
      <w:bookmarkStart w:id="239" w:name="_Toc26917"/>
      <w:r>
        <w:rPr>
          <w:rFonts w:hint="default"/>
          <w:lang w:val="en-US"/>
        </w:rPr>
        <w:t>其他保障措施</w:t>
      </w:r>
      <w:bookmarkEnd w:id="239"/>
    </w:p>
    <w:p w14:paraId="2A02ACA7">
      <w:pPr>
        <w:pStyle w:val="5"/>
        <w:numPr>
          <w:ilvl w:val="3"/>
          <w:numId w:val="17"/>
        </w:numPr>
        <w:bidi w:val="0"/>
        <w:rPr>
          <w:rFonts w:hint="default"/>
          <w:lang w:val="en-US"/>
        </w:rPr>
      </w:pPr>
      <w:r>
        <w:rPr>
          <w:rFonts w:hint="default"/>
          <w:lang w:val="en-US"/>
        </w:rPr>
        <w:t>组织体系与培训</w:t>
      </w:r>
    </w:p>
    <w:p w14:paraId="4223D03C">
      <w:pPr>
        <w:ind w:firstLine="480"/>
        <w:rPr>
          <w:rFonts w:hint="default"/>
          <w:lang w:val="en-US"/>
        </w:rPr>
      </w:pPr>
      <w:r>
        <w:rPr>
          <w:rFonts w:hint="default"/>
          <w:lang w:val="en-US"/>
        </w:rPr>
        <w:t>成立以项目经理为组长的施工安全与生态保护领导小组，明确各部门、各岗位的职责分工，形成全员参与、齐抓共管的工作格局。定期组织施工人员进行森林防火、生态保护等方面的培训，培训内容包括相关法律法规、安全操作规程、应急处置方法等。通过培训，提高施工人员的安全意识和生态保护意识，增强应对突发事件的能力。</w:t>
      </w:r>
    </w:p>
    <w:p w14:paraId="61C81913">
      <w:pPr>
        <w:pStyle w:val="5"/>
        <w:numPr>
          <w:ilvl w:val="3"/>
          <w:numId w:val="17"/>
        </w:numPr>
        <w:bidi w:val="0"/>
        <w:rPr>
          <w:rFonts w:hint="default"/>
          <w:lang w:val="en-US"/>
        </w:rPr>
      </w:pPr>
      <w:r>
        <w:rPr>
          <w:rFonts w:hint="default"/>
          <w:lang w:val="en-US"/>
        </w:rPr>
        <w:t>监测与检查</w:t>
      </w:r>
    </w:p>
    <w:p w14:paraId="1301ADA7">
      <w:pPr>
        <w:ind w:firstLine="480"/>
        <w:rPr>
          <w:rFonts w:hint="default"/>
          <w:lang w:val="en-US"/>
        </w:rPr>
      </w:pPr>
      <w:r>
        <w:rPr>
          <w:rFonts w:hint="default"/>
          <w:lang w:val="en-US"/>
        </w:rPr>
        <w:t>建立健全施工现场监测与检查制度，定期对施工现场的防火措施、生态保护措施等进行检查。采用人工巡查、视频监控等方式，对施工区域进行实时监测，及时发现和消除安全隐患。对检查中发现的问题，要及时下达整改通知书，责令相关责任单位限期整改，并对整改情况进行跟踪复查，确保问题整改到位。</w:t>
      </w:r>
    </w:p>
    <w:p w14:paraId="60609268">
      <w:pPr>
        <w:pStyle w:val="5"/>
        <w:numPr>
          <w:ilvl w:val="3"/>
          <w:numId w:val="17"/>
        </w:numPr>
        <w:bidi w:val="0"/>
        <w:rPr>
          <w:rFonts w:hint="default"/>
          <w:lang w:val="en-US"/>
        </w:rPr>
      </w:pPr>
      <w:r>
        <w:rPr>
          <w:rFonts w:hint="default"/>
          <w:lang w:val="en-US"/>
        </w:rPr>
        <w:t>考核与奖惩</w:t>
      </w:r>
    </w:p>
    <w:p w14:paraId="2EB10C1C">
      <w:pPr>
        <w:ind w:firstLine="480"/>
        <w:rPr>
          <w:rFonts w:hint="default"/>
          <w:lang w:val="en-US"/>
        </w:rPr>
      </w:pPr>
      <w:r>
        <w:rPr>
          <w:rFonts w:hint="default"/>
          <w:lang w:val="en-US"/>
        </w:rPr>
        <w:t>制定施工安全与生态保护考核奖惩制度，将施工安全与生态保护工作纳入绩效考核体系。对在施工安全与生态保护工作中表现突出的部门和个人，给予表彰和奖励；对违反相关规定、造成安全事故或生态环境破坏的部门和个人，给予严肃处理，追究其责任。通过考核奖惩，激励施工人员自觉遵守规定，做好施工安全与生态保护工作。</w:t>
      </w:r>
    </w:p>
    <w:p w14:paraId="25384270">
      <w:pPr>
        <w:pStyle w:val="5"/>
        <w:numPr>
          <w:ilvl w:val="3"/>
          <w:numId w:val="17"/>
        </w:numPr>
        <w:bidi w:val="0"/>
        <w:rPr>
          <w:rFonts w:hint="default"/>
          <w:lang w:val="en-US"/>
        </w:rPr>
      </w:pPr>
      <w:r>
        <w:rPr>
          <w:rFonts w:hint="default"/>
          <w:lang w:val="en-US"/>
        </w:rPr>
        <w:t>宣传与教育</w:t>
      </w:r>
    </w:p>
    <w:p w14:paraId="4448ECF5">
      <w:pPr>
        <w:ind w:firstLine="480"/>
        <w:rPr>
          <w:rFonts w:hint="default"/>
          <w:lang w:val="en-US"/>
        </w:rPr>
      </w:pPr>
      <w:r>
        <w:rPr>
          <w:rFonts w:hint="default"/>
          <w:lang w:val="en-US"/>
        </w:rPr>
        <w:t>加强对施工现场周边居民、访客等的宣传教育，通过张贴标语、发放宣传资料、开展讲座等方式，宣传森林防火、生态保护的重要性和相关知识。提高周边居民的防火意识和生态保护意识，争取他们对施工安全与生态保护工作的支持和配合。同时，在施工现场设置宣传栏，及时发布施工安全与生态保护的相关信息，营造良好的工作氛围。</w:t>
      </w:r>
    </w:p>
    <w:p w14:paraId="7E99DDF6">
      <w:pPr>
        <w:pStyle w:val="3"/>
        <w:numPr>
          <w:ilvl w:val="1"/>
          <w:numId w:val="17"/>
        </w:numPr>
        <w:bidi w:val="0"/>
        <w:rPr>
          <w:rFonts w:hint="default"/>
          <w:lang w:val="en-US"/>
        </w:rPr>
      </w:pPr>
      <w:bookmarkStart w:id="240" w:name="_Toc31848"/>
      <w:r>
        <w:rPr>
          <w:rFonts w:hint="default"/>
          <w:lang w:val="en-US"/>
        </w:rPr>
        <w:t>质量、安全、文明施工保障措施</w:t>
      </w:r>
      <w:bookmarkEnd w:id="240"/>
    </w:p>
    <w:p w14:paraId="7A79C00E">
      <w:pPr>
        <w:pStyle w:val="4"/>
        <w:numPr>
          <w:ilvl w:val="2"/>
          <w:numId w:val="17"/>
        </w:numPr>
        <w:bidi w:val="0"/>
        <w:rPr>
          <w:rFonts w:hint="default"/>
          <w:lang w:val="en-US"/>
        </w:rPr>
      </w:pPr>
      <w:bookmarkStart w:id="241" w:name="_Toc4288"/>
      <w:r>
        <w:rPr>
          <w:rFonts w:hint="default"/>
          <w:lang w:val="en-US"/>
        </w:rPr>
        <w:t>总体概述</w:t>
      </w:r>
      <w:bookmarkEnd w:id="241"/>
    </w:p>
    <w:p w14:paraId="5D15387A">
      <w:pPr>
        <w:ind w:firstLine="480"/>
        <w:rPr>
          <w:rFonts w:hint="default"/>
          <w:lang w:val="en-US"/>
        </w:rPr>
      </w:pPr>
      <w:r>
        <w:rPr>
          <w:rFonts w:hint="default"/>
          <w:lang w:val="en-US"/>
        </w:rPr>
        <w:t>在岳阳市森林火灾高风险区综合治理信息化建设项目中，质量、安全与文明施工是确保项目顺利推进、实现预期目标的核心保障。本专项措施以“质量为先、安全为重、文明为基”为指导思想，通过建立完善的管理体系、严格的执行标准和有效的监督机制，全面覆盖项目施工的各个环节，确保工程质量达标、施工安全可控、生态环境得到有效保护。</w:t>
      </w:r>
    </w:p>
    <w:p w14:paraId="0F6F6DA3">
      <w:pPr>
        <w:pStyle w:val="4"/>
        <w:numPr>
          <w:ilvl w:val="2"/>
          <w:numId w:val="17"/>
        </w:numPr>
        <w:bidi w:val="0"/>
        <w:rPr>
          <w:rFonts w:hint="default"/>
          <w:lang w:val="en-US" w:eastAsia="zh-CN"/>
        </w:rPr>
      </w:pPr>
      <w:bookmarkStart w:id="242" w:name="_Toc22979"/>
      <w:r>
        <w:rPr>
          <w:rFonts w:hint="eastAsia"/>
          <w:lang w:val="en-US" w:eastAsia="zh-CN"/>
        </w:rPr>
        <w:t>质量保障措施</w:t>
      </w:r>
      <w:bookmarkEnd w:id="242"/>
    </w:p>
    <w:p w14:paraId="3DCB6B47">
      <w:pPr>
        <w:pStyle w:val="5"/>
        <w:numPr>
          <w:ilvl w:val="3"/>
          <w:numId w:val="17"/>
        </w:numPr>
        <w:bidi w:val="0"/>
        <w:rPr>
          <w:rFonts w:hint="default"/>
          <w:lang w:val="en-US"/>
        </w:rPr>
      </w:pPr>
      <w:r>
        <w:rPr>
          <w:rFonts w:hint="default"/>
          <w:lang w:val="en-US"/>
        </w:rPr>
        <w:t>三检制与关键工序管控</w:t>
      </w:r>
    </w:p>
    <w:p w14:paraId="58D4FAEC">
      <w:pPr>
        <w:pStyle w:val="6"/>
        <w:numPr>
          <w:ilvl w:val="4"/>
          <w:numId w:val="17"/>
        </w:numPr>
        <w:bidi w:val="0"/>
        <w:rPr>
          <w:rFonts w:hint="default"/>
          <w:lang w:val="en-US"/>
        </w:rPr>
      </w:pPr>
      <w:r>
        <w:rPr>
          <w:rFonts w:hint="default"/>
          <w:lang w:val="en-US"/>
        </w:rPr>
        <w:t xml:space="preserve"> 三检制：自检、互检、专检</w:t>
      </w:r>
    </w:p>
    <w:p w14:paraId="4F0725C4">
      <w:pPr>
        <w:ind w:firstLine="480"/>
        <w:rPr>
          <w:rFonts w:hint="default"/>
          <w:lang w:val="en-US"/>
        </w:rPr>
      </w:pPr>
      <w:r>
        <w:rPr>
          <w:rFonts w:hint="eastAsia"/>
          <w:lang w:val="en-US" w:eastAsia="zh-CN"/>
        </w:rPr>
        <w:t>1.</w:t>
      </w:r>
      <w:r>
        <w:rPr>
          <w:rFonts w:hint="default"/>
          <w:lang w:val="en-US"/>
        </w:rPr>
        <w:t xml:space="preserve"> 自检</w:t>
      </w:r>
    </w:p>
    <w:p w14:paraId="327414EC">
      <w:pPr>
        <w:ind w:firstLine="480"/>
        <w:rPr>
          <w:rFonts w:hint="default"/>
          <w:lang w:val="en-US"/>
        </w:rPr>
      </w:pPr>
      <w:r>
        <w:rPr>
          <w:rFonts w:hint="default"/>
          <w:lang w:val="en-US"/>
        </w:rPr>
        <w:t>施工班组在每道工序完成后，由班组长组织班组人员进行全面自检。自检内容包括工序施工质量是否符合设计要求、施工规范及工艺标准，如杆塔基础尺寸是否精准、线缆连接是否牢固、设备安装是否到位等。自检过程中需填写《自检记录表》，对发现的问题及时整改，整改完成后重新进行自检，确保工序质量达标后方可进入下一道工序。</w:t>
      </w:r>
    </w:p>
    <w:p w14:paraId="15304BD2">
      <w:pPr>
        <w:ind w:firstLine="480"/>
        <w:rPr>
          <w:rFonts w:hint="default"/>
          <w:lang w:val="en-US"/>
        </w:rPr>
      </w:pPr>
      <w:r>
        <w:rPr>
          <w:rFonts w:hint="eastAsia"/>
          <w:lang w:val="en-US" w:eastAsia="zh-CN"/>
        </w:rPr>
        <w:t>2.</w:t>
      </w:r>
      <w:r>
        <w:rPr>
          <w:rFonts w:hint="default"/>
          <w:lang w:val="en-US"/>
        </w:rPr>
        <w:t>互检</w:t>
      </w:r>
    </w:p>
    <w:p w14:paraId="09474B2B">
      <w:pPr>
        <w:ind w:firstLine="480"/>
        <w:rPr>
          <w:rFonts w:hint="default"/>
          <w:lang w:val="en-US"/>
        </w:rPr>
      </w:pPr>
      <w:r>
        <w:rPr>
          <w:rFonts w:hint="default"/>
          <w:lang w:val="en-US"/>
        </w:rPr>
        <w:t>工序完成自检后，由施工项目部组织相邻工序的施工班组进行互检。互检旨在通过不同班组之间的交叉检查，发现自检过程中可能遗漏的问题。互检时，双方班组人员需对照施工图纸和质量标准，对对方工序的施工质量进行细致检查，并填写《互检记录表》。对于互检中发现的问题，责任班组需立即整改，整改完成后经对方班组确认合格后方可继续施工。</w:t>
      </w:r>
    </w:p>
    <w:p w14:paraId="52002659">
      <w:pPr>
        <w:ind w:firstLine="480"/>
        <w:rPr>
          <w:rFonts w:hint="default"/>
          <w:lang w:val="en-US"/>
        </w:rPr>
      </w:pPr>
      <w:r>
        <w:rPr>
          <w:rFonts w:hint="eastAsia"/>
          <w:lang w:val="en-US" w:eastAsia="zh-CN"/>
        </w:rPr>
        <w:t>3.</w:t>
      </w:r>
      <w:r>
        <w:rPr>
          <w:rFonts w:hint="default"/>
          <w:lang w:val="en-US"/>
        </w:rPr>
        <w:t>专检</w:t>
      </w:r>
    </w:p>
    <w:p w14:paraId="7C61994F">
      <w:pPr>
        <w:ind w:firstLine="480"/>
        <w:rPr>
          <w:rFonts w:hint="default"/>
          <w:lang w:val="en-US"/>
        </w:rPr>
      </w:pPr>
      <w:r>
        <w:rPr>
          <w:rFonts w:hint="default"/>
          <w:lang w:val="en-US"/>
        </w:rPr>
        <w:t>专检由施工项目部专职质量检查员负责，在自检、互检合格的基础上进行。专职质量检查员具备专业的质量检验知识和丰富的实践经验，能够对工序质量进行全面、专业的检查。专检内容包括对工序施工质量的抽样检测、关键部位的重点检查以及施工资料的审核等。专检过程中需填写《专检记录表》，对不符合质量要求的工序下达《整改通知书》，责令施工班组限期整改，并对整改情况进行复查，确保质量问题得到彻底解决。</w:t>
      </w:r>
    </w:p>
    <w:p w14:paraId="3B9D27CB">
      <w:pPr>
        <w:pStyle w:val="6"/>
        <w:numPr>
          <w:ilvl w:val="4"/>
          <w:numId w:val="17"/>
        </w:numPr>
        <w:bidi w:val="0"/>
        <w:rPr>
          <w:rFonts w:hint="default"/>
          <w:lang w:val="en-US"/>
        </w:rPr>
      </w:pPr>
      <w:r>
        <w:rPr>
          <w:rFonts w:hint="default"/>
          <w:lang w:val="en-US"/>
        </w:rPr>
        <w:t>关键工序</w:t>
      </w:r>
      <w:r>
        <w:rPr>
          <w:rFonts w:hint="eastAsia"/>
          <w:lang w:val="en-US" w:eastAsia="zh-CN"/>
        </w:rPr>
        <w:t>管控</w:t>
      </w:r>
    </w:p>
    <w:p w14:paraId="12A877D9">
      <w:pPr>
        <w:ind w:firstLine="480"/>
        <w:rPr>
          <w:rFonts w:hint="default"/>
          <w:lang w:val="en-US"/>
        </w:rPr>
      </w:pPr>
      <w:r>
        <w:rPr>
          <w:rFonts w:hint="default"/>
          <w:lang w:val="en-US"/>
        </w:rPr>
        <w:t>对于项目中的关键工序，如杆塔基础浇筑、一体化云台安装、森林防火通信系统调试等，实施旁站监理制度。旁站监理由具备相应资质的监理人员担任，在关键工序施工过程中全程在场，对施工过程进行实时监督。旁站监理人员需严格按照施工规范和监理细则，检查施工人员的操作是否符合要求、施工材料和设备是否合格、施工质量是否达到标准等。同时，旁站监理人员需填写《旁站监理记录表》，详细记录关键工序的施工过程和质量情况，确保关键工序的施工质量得到有效控制。</w:t>
      </w:r>
    </w:p>
    <w:p w14:paraId="7CE44481">
      <w:pPr>
        <w:pStyle w:val="6"/>
        <w:numPr>
          <w:ilvl w:val="4"/>
          <w:numId w:val="17"/>
        </w:numPr>
        <w:bidi w:val="0"/>
        <w:rPr>
          <w:rFonts w:hint="default"/>
          <w:lang w:val="en-US"/>
        </w:rPr>
      </w:pPr>
      <w:r>
        <w:rPr>
          <w:rFonts w:hint="default"/>
          <w:lang w:val="en-US"/>
        </w:rPr>
        <w:t>材料设备100%检验</w:t>
      </w:r>
    </w:p>
    <w:p w14:paraId="0FD4469B">
      <w:pPr>
        <w:ind w:firstLine="480"/>
        <w:rPr>
          <w:rFonts w:hint="default"/>
          <w:lang w:val="en-US"/>
        </w:rPr>
      </w:pPr>
      <w:r>
        <w:rPr>
          <w:rFonts w:hint="default"/>
          <w:lang w:val="en-US"/>
        </w:rPr>
        <w:t>项目所需的所有材料和设备，包括杆塔材料、基础材料、一体化云台摄像机、无人机、语音自组网设备等，均需进行100%检验。材料设备进场前，施工项目部组织专职质量检查员、监理人员以及供应商代表共同进行检验。检验内容包括材料设备的质量证明文件、规格型号、外观质量、性能指标等。对于检验合格的材料设备，填写《材料设备进场检验记录表》，准予进场；对于检验不合格的材料设备，责令供应商退回，严禁用于工程施工。同时，对进场后的材料设备进行妥善保管，防止因保管不当导致质量问题。</w:t>
      </w:r>
    </w:p>
    <w:p w14:paraId="3AF66DED">
      <w:pPr>
        <w:pStyle w:val="5"/>
        <w:numPr>
          <w:ilvl w:val="3"/>
          <w:numId w:val="17"/>
        </w:numPr>
        <w:bidi w:val="0"/>
        <w:rPr>
          <w:rFonts w:hint="default"/>
          <w:lang w:val="en-US"/>
        </w:rPr>
      </w:pPr>
      <w:r>
        <w:rPr>
          <w:rFonts w:hint="default"/>
          <w:lang w:val="en-US"/>
        </w:rPr>
        <w:t>质量</w:t>
      </w:r>
      <w:r>
        <w:rPr>
          <w:rFonts w:hint="eastAsia"/>
          <w:lang w:val="en-US" w:eastAsia="zh-CN"/>
        </w:rPr>
        <w:t>管控</w:t>
      </w:r>
    </w:p>
    <w:p w14:paraId="54B2B597">
      <w:pPr>
        <w:pStyle w:val="6"/>
        <w:numPr>
          <w:ilvl w:val="4"/>
          <w:numId w:val="17"/>
        </w:numPr>
        <w:bidi w:val="0"/>
        <w:rPr>
          <w:rFonts w:hint="default"/>
          <w:lang w:val="en-US"/>
        </w:rPr>
      </w:pPr>
      <w:r>
        <w:rPr>
          <w:rFonts w:hint="default"/>
          <w:lang w:val="en-US"/>
        </w:rPr>
        <w:t>建立质量管理体系</w:t>
      </w:r>
    </w:p>
    <w:p w14:paraId="40333589">
      <w:pPr>
        <w:ind w:firstLine="480"/>
        <w:rPr>
          <w:rFonts w:hint="default"/>
          <w:lang w:val="en-US"/>
        </w:rPr>
      </w:pPr>
      <w:r>
        <w:rPr>
          <w:rFonts w:hint="default"/>
          <w:lang w:val="en-US"/>
        </w:rPr>
        <w:t>施工项目部建立健全质量管理体系，明确各部门、各岗位的质量职责，形成自上而下的质量管理网络。成立以项目经理为组长的质量管理小组，负责制定项目质量目标、质量计划和质量管理制度，并组织实施。同时，配备专职质量管理人员，负责日常质量检查、监督和管理工作，确保质量管理体系有效运行。</w:t>
      </w:r>
    </w:p>
    <w:p w14:paraId="715D2CAE">
      <w:pPr>
        <w:pStyle w:val="6"/>
        <w:numPr>
          <w:ilvl w:val="4"/>
          <w:numId w:val="17"/>
        </w:numPr>
        <w:bidi w:val="0"/>
        <w:rPr>
          <w:rFonts w:hint="default"/>
          <w:lang w:val="en-US"/>
        </w:rPr>
      </w:pPr>
      <w:r>
        <w:rPr>
          <w:rFonts w:hint="default"/>
          <w:lang w:val="en-US"/>
        </w:rPr>
        <w:t>加强技术交底与培训</w:t>
      </w:r>
    </w:p>
    <w:p w14:paraId="02D0AF6C">
      <w:pPr>
        <w:ind w:firstLine="480"/>
        <w:rPr>
          <w:rFonts w:hint="default"/>
          <w:lang w:val="en-US"/>
        </w:rPr>
      </w:pPr>
      <w:r>
        <w:rPr>
          <w:rFonts w:hint="default"/>
          <w:lang w:val="en-US"/>
        </w:rPr>
        <w:t>施工前，由技术负责人组织施工人员进行详细的技术交底，交底内容包括施工图纸、施工规范、工艺标准、质量要求等。技术交底需采用书面形式，并由交底人和被交底人签字确认，确保施工人员准确理解施工要求。此外，定期组织施工人员进行技术培训和技能考核，提高施工人员的专业技术水平和质量意识，确保施工过程中能够严格按照技术要求进行操作。</w:t>
      </w:r>
    </w:p>
    <w:p w14:paraId="22BB5C11">
      <w:pPr>
        <w:pStyle w:val="6"/>
        <w:numPr>
          <w:ilvl w:val="4"/>
          <w:numId w:val="17"/>
        </w:numPr>
        <w:bidi w:val="0"/>
        <w:rPr>
          <w:rFonts w:hint="default"/>
          <w:lang w:val="en-US"/>
        </w:rPr>
      </w:pPr>
      <w:r>
        <w:rPr>
          <w:rFonts w:hint="default"/>
          <w:lang w:val="en-US"/>
        </w:rPr>
        <w:t>严格质量验收程序</w:t>
      </w:r>
    </w:p>
    <w:p w14:paraId="28995135">
      <w:pPr>
        <w:ind w:firstLine="480"/>
        <w:rPr>
          <w:rFonts w:hint="default"/>
          <w:lang w:val="en-US"/>
        </w:rPr>
      </w:pPr>
      <w:r>
        <w:rPr>
          <w:rFonts w:hint="default"/>
          <w:lang w:val="en-US"/>
        </w:rPr>
        <w:t>按照国家相关标准和项目设计要求，严格执行质量验收程序。分部分项工程完成后，先由施工班组自检，再经施工项目部、监理单位、建设单位逐级验收。验收合格后，填写《分部分项工程质量验收记录表》，方可进入下一道工序。单位工程完工后，由施工项目部组织自检，自检合格后向监理单位提交竣工验收申请，由监理单位组织建设单位、设计单位、勘察单位等进行竣工验收，确保工程质量达到合格标准。</w:t>
      </w:r>
    </w:p>
    <w:p w14:paraId="2EBF8C9B">
      <w:pPr>
        <w:pStyle w:val="6"/>
        <w:numPr>
          <w:ilvl w:val="4"/>
          <w:numId w:val="17"/>
        </w:numPr>
        <w:bidi w:val="0"/>
        <w:rPr>
          <w:rFonts w:hint="default"/>
          <w:lang w:val="en-US"/>
        </w:rPr>
      </w:pPr>
      <w:r>
        <w:rPr>
          <w:rFonts w:hint="default"/>
          <w:lang w:val="en-US"/>
        </w:rPr>
        <w:t>质量问题整改与追溯</w:t>
      </w:r>
    </w:p>
    <w:p w14:paraId="104DCFA3">
      <w:pPr>
        <w:ind w:firstLine="480"/>
        <w:rPr>
          <w:rFonts w:hint="default"/>
          <w:lang w:val="en-US"/>
        </w:rPr>
      </w:pPr>
      <w:r>
        <w:rPr>
          <w:rFonts w:hint="default"/>
          <w:lang w:val="en-US"/>
        </w:rPr>
        <w:t>建立质量问题整改与追溯机制，对施工过程中发现的质量问题，及时下达整改通知书，责令责任单位限期整改。整改完成后，进行复查验收，确保质量问题得到彻底解决。同时，对质量问题的原因进行分析，采取针对性的预防措施，避免类似问题再次发生。对重大质量问题，建立质量追溯档案，记录问题发生的时间、地点、原因、整改措施和整改结果等，以便后续查询和分析。</w:t>
      </w:r>
    </w:p>
    <w:p w14:paraId="17F5FAC7">
      <w:pPr>
        <w:pStyle w:val="4"/>
        <w:numPr>
          <w:ilvl w:val="2"/>
          <w:numId w:val="17"/>
        </w:numPr>
        <w:bidi w:val="0"/>
        <w:rPr>
          <w:rFonts w:hint="default"/>
          <w:lang w:val="en-US" w:eastAsia="zh-CN"/>
        </w:rPr>
      </w:pPr>
      <w:bookmarkStart w:id="243" w:name="_Toc23366"/>
      <w:r>
        <w:rPr>
          <w:rFonts w:hint="default"/>
          <w:lang w:val="en-US" w:eastAsia="zh-CN"/>
        </w:rPr>
        <w:t>安全保障措施</w:t>
      </w:r>
      <w:bookmarkEnd w:id="243"/>
    </w:p>
    <w:p w14:paraId="1B12A08E">
      <w:pPr>
        <w:pStyle w:val="5"/>
        <w:numPr>
          <w:ilvl w:val="3"/>
          <w:numId w:val="17"/>
        </w:numPr>
        <w:bidi w:val="0"/>
        <w:rPr>
          <w:rFonts w:hint="default"/>
          <w:lang w:val="en-US"/>
        </w:rPr>
      </w:pPr>
      <w:r>
        <w:rPr>
          <w:rFonts w:hint="default"/>
          <w:lang w:val="en-US"/>
        </w:rPr>
        <w:t>三级安全教育</w:t>
      </w:r>
    </w:p>
    <w:p w14:paraId="755E599B">
      <w:pPr>
        <w:ind w:firstLine="480"/>
        <w:rPr>
          <w:rFonts w:hint="default"/>
          <w:lang w:val="en-US"/>
        </w:rPr>
      </w:pPr>
      <w:r>
        <w:rPr>
          <w:rFonts w:hint="eastAsia"/>
          <w:lang w:val="en-US" w:eastAsia="zh-CN"/>
        </w:rPr>
        <w:t>1.管理部</w:t>
      </w:r>
      <w:r>
        <w:rPr>
          <w:rFonts w:hint="default"/>
          <w:lang w:val="en-US"/>
        </w:rPr>
        <w:t>安全教育</w:t>
      </w:r>
    </w:p>
    <w:p w14:paraId="05054165">
      <w:pPr>
        <w:ind w:firstLine="480"/>
        <w:rPr>
          <w:rFonts w:hint="default"/>
          <w:lang w:val="en-US"/>
        </w:rPr>
      </w:pPr>
      <w:r>
        <w:rPr>
          <w:rFonts w:hint="eastAsia"/>
          <w:lang w:val="en-US" w:eastAsia="zh-CN"/>
        </w:rPr>
        <w:t>进入森林防火项目的新员工</w:t>
      </w:r>
      <w:r>
        <w:rPr>
          <w:rFonts w:hint="default"/>
          <w:lang w:val="en-US"/>
        </w:rPr>
        <w:t>，由</w:t>
      </w:r>
      <w:r>
        <w:rPr>
          <w:rFonts w:hint="eastAsia"/>
          <w:lang w:val="en-US" w:eastAsia="zh-CN"/>
        </w:rPr>
        <w:t>林业局</w:t>
      </w:r>
      <w:r>
        <w:rPr>
          <w:rFonts w:hint="default"/>
          <w:lang w:val="en-US"/>
        </w:rPr>
        <w:t>安全管理部门组织进行安全教育。教育内容包括国家安全生产法律法规、公司安全生产规章制度、安全生产基本知识等。通过公司级安全教育，使新员工了解安全生产的重要性，树立安全生产意识。</w:t>
      </w:r>
    </w:p>
    <w:p w14:paraId="2561DD95">
      <w:pPr>
        <w:ind w:firstLine="480"/>
        <w:rPr>
          <w:rFonts w:hint="default"/>
          <w:lang w:val="en-US"/>
        </w:rPr>
      </w:pPr>
      <w:r>
        <w:rPr>
          <w:rFonts w:hint="eastAsia"/>
          <w:lang w:val="en-US" w:eastAsia="zh-CN"/>
        </w:rPr>
        <w:t>2.</w:t>
      </w:r>
      <w:r>
        <w:rPr>
          <w:rFonts w:hint="default"/>
          <w:lang w:val="en-US"/>
        </w:rPr>
        <w:t xml:space="preserve"> 项目安全教育</w:t>
      </w:r>
    </w:p>
    <w:p w14:paraId="301EEF5A">
      <w:pPr>
        <w:ind w:firstLine="480"/>
        <w:rPr>
          <w:rFonts w:hint="default"/>
          <w:lang w:val="en-US"/>
        </w:rPr>
      </w:pPr>
      <w:r>
        <w:rPr>
          <w:rFonts w:hint="default"/>
          <w:lang w:val="en-US"/>
        </w:rPr>
        <w:t>进入施工项目部</w:t>
      </w:r>
      <w:r>
        <w:rPr>
          <w:rFonts w:hint="eastAsia"/>
          <w:lang w:val="en-US" w:eastAsia="zh-CN"/>
        </w:rPr>
        <w:t>成员</w:t>
      </w:r>
      <w:r>
        <w:rPr>
          <w:rFonts w:hint="default"/>
          <w:lang w:val="en-US"/>
        </w:rPr>
        <w:t>，由项目安全管理人员组织进行项目部级安全教育。教育内容包括项目安全生产特点、施工现场安全风险、安全操作规程、应急处置方法等。通过项目部级安全教育，使员工熟悉项目施工现场的安全环境，掌握基本的安全操作技能和应急处置能力。</w:t>
      </w:r>
    </w:p>
    <w:p w14:paraId="0B7C9AE4">
      <w:pPr>
        <w:ind w:firstLine="480"/>
        <w:rPr>
          <w:rFonts w:hint="default"/>
          <w:lang w:val="en-US"/>
        </w:rPr>
      </w:pPr>
      <w:r>
        <w:rPr>
          <w:rFonts w:hint="eastAsia"/>
          <w:lang w:val="en-US" w:eastAsia="zh-CN"/>
        </w:rPr>
        <w:t>3.</w:t>
      </w:r>
      <w:r>
        <w:rPr>
          <w:rFonts w:hint="default"/>
          <w:lang w:val="en-US"/>
        </w:rPr>
        <w:t>班组级安全教育</w:t>
      </w:r>
    </w:p>
    <w:p w14:paraId="149E34FC">
      <w:pPr>
        <w:ind w:firstLine="480"/>
        <w:rPr>
          <w:rFonts w:hint="default"/>
          <w:lang w:val="en-US"/>
        </w:rPr>
      </w:pPr>
      <w:r>
        <w:rPr>
          <w:rFonts w:hint="default"/>
          <w:lang w:val="en-US"/>
        </w:rPr>
        <w:t>员工进入施工班组后，由班组长组织进行班组级安全教育。教育内容包括班组作业特点、岗位安全职责、安全操作要点、事故案例分析等。通过班组级安全教育，使员工明确自身的安全职责，掌握岗位安全操作技能，提高防范事故的能力。</w:t>
      </w:r>
    </w:p>
    <w:p w14:paraId="49E5B6EA">
      <w:pPr>
        <w:pStyle w:val="5"/>
        <w:numPr>
          <w:ilvl w:val="3"/>
          <w:numId w:val="17"/>
        </w:numPr>
        <w:bidi w:val="0"/>
        <w:rPr>
          <w:rFonts w:hint="default"/>
          <w:lang w:val="en-US"/>
        </w:rPr>
      </w:pPr>
      <w:r>
        <w:rPr>
          <w:rFonts w:hint="default"/>
          <w:lang w:val="en-US"/>
        </w:rPr>
        <w:t>林区防火专项交底</w:t>
      </w:r>
    </w:p>
    <w:p w14:paraId="6991B148">
      <w:pPr>
        <w:ind w:firstLine="480"/>
        <w:rPr>
          <w:rFonts w:hint="default"/>
          <w:lang w:val="en-US"/>
        </w:rPr>
      </w:pPr>
      <w:r>
        <w:rPr>
          <w:rFonts w:hint="default"/>
          <w:lang w:val="en-US"/>
        </w:rPr>
        <w:t>针对项目施工区域位于森林火灾高风险区的特点，进行林区防火专项交底。交底内容包括森林防火法律法规、林区防火“七个严禁”要求、动火作业管理规定、应急处置火情流程等。施工前，由项目部安全管理人员组织施工人员进行林区防火专项交底，确保施工人员熟悉林区防火要求，掌握防火措施和应急处置方法。同时，在施工现场设置明显的防火警示标志，配备充足的防火器材，加强日常防火巡查，确保林区防火安全。</w:t>
      </w:r>
    </w:p>
    <w:p w14:paraId="1FA45BB2">
      <w:pPr>
        <w:pStyle w:val="5"/>
        <w:numPr>
          <w:ilvl w:val="3"/>
          <w:numId w:val="17"/>
        </w:numPr>
        <w:bidi w:val="0"/>
        <w:rPr>
          <w:rFonts w:hint="default"/>
          <w:lang w:val="en-US"/>
        </w:rPr>
      </w:pPr>
      <w:r>
        <w:rPr>
          <w:rFonts w:hint="default"/>
          <w:lang w:val="en-US"/>
        </w:rPr>
        <w:t>高空作业规范</w:t>
      </w:r>
    </w:p>
    <w:p w14:paraId="0652D33A">
      <w:pPr>
        <w:ind w:firstLine="480"/>
        <w:rPr>
          <w:rFonts w:hint="default"/>
          <w:lang w:val="en-US"/>
        </w:rPr>
      </w:pPr>
      <w:r>
        <w:rPr>
          <w:rFonts w:hint="default"/>
          <w:lang w:val="en-US"/>
        </w:rPr>
        <w:t>对于高空作业，如杆塔安装、一体化云台安装等，制定严格的高空作业规范。高空作业人员必须经过专业培训，取得高空作业资格证书后方可上岗。作业前，对高空作业人员进行安全技术交底，明确作业要求和安全注意事项。作业过程中，高空作业人员必须佩戴安全带、安全帽等防护用品，使用合格的登高工具和设备。同时，设置安全警示标志和防护栏杆，防止人员坠落和物体打击。在恶劣天气条件下，如大风、雷雨等，严禁进行高空作业。</w:t>
      </w:r>
    </w:p>
    <w:p w14:paraId="7C92ECE2">
      <w:pPr>
        <w:pStyle w:val="5"/>
        <w:numPr>
          <w:ilvl w:val="3"/>
          <w:numId w:val="17"/>
        </w:numPr>
        <w:bidi w:val="0"/>
        <w:rPr>
          <w:rFonts w:hint="default"/>
          <w:lang w:val="en-US"/>
        </w:rPr>
      </w:pPr>
      <w:r>
        <w:rPr>
          <w:rFonts w:hint="default"/>
          <w:lang w:val="en-US"/>
        </w:rPr>
        <w:t>用电作业规范</w:t>
      </w:r>
    </w:p>
    <w:p w14:paraId="16B1FC1C">
      <w:pPr>
        <w:ind w:firstLine="480"/>
        <w:rPr>
          <w:rFonts w:hint="default"/>
          <w:lang w:val="en-US"/>
        </w:rPr>
      </w:pPr>
      <w:r>
        <w:rPr>
          <w:rFonts w:hint="default"/>
          <w:lang w:val="en-US"/>
        </w:rPr>
        <w:t>施工现场用电必须遵守国家相关标准和规范，制定用电作业规范。施工用电由专业电工负责安装、维护和管理，严禁非电工人员私自接电、拆电。配电箱、开关箱等用电设备必须符合安全要求，配备漏电保护器、熔断器等保护装置。用电线路必须架空或埋地敷设，严禁乱拉乱接。在潮湿环境、高温环境等特殊场所用电，必须采取相应的安全防护措施。定期对用电设备和线路进行检查，及时发现和消除安全隐患，确保用电安全。</w:t>
      </w:r>
    </w:p>
    <w:p w14:paraId="7894B654">
      <w:pPr>
        <w:pStyle w:val="5"/>
        <w:numPr>
          <w:ilvl w:val="3"/>
          <w:numId w:val="17"/>
        </w:numPr>
        <w:rPr>
          <w:rFonts w:hint="eastAsia"/>
          <w:lang w:val="en-US"/>
        </w:rPr>
      </w:pPr>
      <w:r>
        <w:rPr>
          <w:rFonts w:hint="eastAsia"/>
          <w:lang w:val="en-US"/>
        </w:rPr>
        <w:t>施工现场防火安全</w:t>
      </w:r>
    </w:p>
    <w:p w14:paraId="177F5312">
      <w:pPr>
        <w:ind w:firstLine="480"/>
        <w:rPr>
          <w:rFonts w:hint="eastAsia"/>
          <w:lang w:val="en-US"/>
        </w:rPr>
      </w:pPr>
      <w:r>
        <w:rPr>
          <w:rFonts w:hint="eastAsia"/>
          <w:lang w:val="en-US"/>
        </w:rPr>
        <w:t>火灾猛于虎，会对设施、设备及人身造成直接伤害。为此消除一切火灾隐患，提前防范是防火安全的关键。对施工现场各种易燃、可燃材料集中堆放、妥善管理，配置防火用具，明确消防水源。电气线路应设置漏电保护开关，以免跑电或漏电时产生的电火花引燃物品形成火灾。严禁在施工现场内和施工现场附近使用明火。严禁在施工现场内及施工现场周围烤火取暖。特别注意，严禁在森林区域使用明火。严禁在施工现场内吸烟，严禁在森林区域吸烟。吸烟必须在指定无火灾隐患的吸烟处。严禁随意抛弃在燃烧烟头，吸完烟后必须将烟头熄灭，同时放到指定区域。使用发电机、电焊设备、电动切割机等易产生火花的机具时候，特别注意防火措施是否到位。消防设施必须放于便于取用处，人人学会使用，人人注意防火。</w:t>
      </w:r>
    </w:p>
    <w:p w14:paraId="44A39B71">
      <w:pPr>
        <w:ind w:firstLine="480"/>
        <w:rPr>
          <w:rFonts w:hint="eastAsia"/>
          <w:lang w:val="en-US"/>
        </w:rPr>
      </w:pPr>
      <w:r>
        <w:rPr>
          <w:rFonts w:hint="eastAsia"/>
          <w:lang w:val="en-US"/>
        </w:rPr>
        <w:t>①注意设备用电负荷安全；</w:t>
      </w:r>
    </w:p>
    <w:p w14:paraId="07493C51">
      <w:pPr>
        <w:ind w:firstLine="480"/>
        <w:rPr>
          <w:rFonts w:hint="eastAsia"/>
          <w:lang w:val="en-US"/>
        </w:rPr>
      </w:pPr>
      <w:r>
        <w:rPr>
          <w:rFonts w:hint="eastAsia"/>
          <w:lang w:val="en-US"/>
        </w:rPr>
        <w:t>②检查电源线的线径是否符合电流过电量的要求，有无裸露或损坏；</w:t>
      </w:r>
    </w:p>
    <w:p w14:paraId="177EF736">
      <w:pPr>
        <w:ind w:firstLine="480"/>
        <w:rPr>
          <w:rFonts w:hint="eastAsia"/>
          <w:lang w:val="en-US"/>
        </w:rPr>
      </w:pPr>
      <w:r>
        <w:rPr>
          <w:rFonts w:hint="eastAsia"/>
          <w:lang w:val="en-US"/>
        </w:rPr>
        <w:t>③进站作业时禁带火种；</w:t>
      </w:r>
    </w:p>
    <w:p w14:paraId="49552101">
      <w:pPr>
        <w:ind w:firstLine="480"/>
        <w:rPr>
          <w:rFonts w:hint="eastAsia"/>
          <w:lang w:val="en-US"/>
        </w:rPr>
      </w:pPr>
      <w:r>
        <w:rPr>
          <w:rFonts w:hint="eastAsia"/>
          <w:lang w:val="en-US"/>
        </w:rPr>
        <w:t>④设备机房内外严禁吸烟；</w:t>
      </w:r>
    </w:p>
    <w:p w14:paraId="2654499E">
      <w:pPr>
        <w:ind w:firstLine="480"/>
        <w:rPr>
          <w:rFonts w:hint="eastAsia"/>
          <w:lang w:val="en-US"/>
        </w:rPr>
      </w:pPr>
      <w:r>
        <w:rPr>
          <w:rFonts w:hint="eastAsia"/>
          <w:lang w:val="en-US"/>
        </w:rPr>
        <w:t>⑤通过实操培训保证每位工程人员均会熟悉使用机房内灭火器；</w:t>
      </w:r>
    </w:p>
    <w:p w14:paraId="223F5DB2">
      <w:pPr>
        <w:ind w:firstLine="480"/>
        <w:rPr>
          <w:rFonts w:hint="eastAsia"/>
          <w:lang w:val="en-US"/>
        </w:rPr>
      </w:pPr>
      <w:r>
        <w:rPr>
          <w:rFonts w:hint="eastAsia"/>
          <w:lang w:val="en-US"/>
        </w:rPr>
        <w:t>⑥发现火灾后，正确判断火源、火势和蔓延方向，并组织人员用消防器材扑灭火或控制火势并及时报警；</w:t>
      </w:r>
    </w:p>
    <w:p w14:paraId="186673F0">
      <w:pPr>
        <w:ind w:firstLine="480"/>
        <w:rPr>
          <w:rFonts w:hint="eastAsia"/>
          <w:lang w:val="en-US"/>
        </w:rPr>
      </w:pPr>
      <w:r>
        <w:rPr>
          <w:rFonts w:hint="eastAsia"/>
          <w:lang w:val="en-US"/>
        </w:rPr>
        <w:t>⑦检查消防情况：灭火器摆放位置及是否过期，做好灭火器使用日期记录，过期的及时更换，消灭任何火灾隐患；</w:t>
      </w:r>
    </w:p>
    <w:p w14:paraId="672A15BB">
      <w:pPr>
        <w:ind w:firstLine="480"/>
        <w:rPr>
          <w:rFonts w:hint="eastAsia"/>
          <w:lang w:val="en-US"/>
        </w:rPr>
      </w:pPr>
      <w:r>
        <w:rPr>
          <w:rFonts w:hint="eastAsia"/>
          <w:lang w:val="en-US"/>
        </w:rPr>
        <w:t>⑧平时注意清理走火通道，火灾万一发生，迅速阻止火灾的扩大，并立即组织抢危救灾和人员、财物的疏散，减少火灾造成的损失；</w:t>
      </w:r>
    </w:p>
    <w:p w14:paraId="5E97D4A0">
      <w:pPr>
        <w:ind w:firstLine="480"/>
        <w:rPr>
          <w:rFonts w:hint="eastAsia"/>
          <w:lang w:val="en-US"/>
        </w:rPr>
      </w:pPr>
      <w:r>
        <w:rPr>
          <w:rFonts w:hint="eastAsia"/>
          <w:lang w:val="en-US"/>
        </w:rPr>
        <w:t>⑨禁止乱拉乱接用电设备，造成过载运行；保持移动电动工具有良好的保护层。</w:t>
      </w:r>
    </w:p>
    <w:p w14:paraId="322BE46B">
      <w:pPr>
        <w:pStyle w:val="5"/>
        <w:numPr>
          <w:ilvl w:val="3"/>
          <w:numId w:val="17"/>
        </w:numPr>
        <w:bidi w:val="0"/>
        <w:rPr>
          <w:rFonts w:hint="default"/>
          <w:lang w:val="en-US"/>
        </w:rPr>
      </w:pPr>
      <w:r>
        <w:rPr>
          <w:rFonts w:hint="eastAsia"/>
          <w:lang w:val="en-US" w:eastAsia="zh-CN"/>
        </w:rPr>
        <w:t>安</w:t>
      </w:r>
      <w:r>
        <w:rPr>
          <w:rFonts w:hint="default"/>
          <w:lang w:val="en-US"/>
        </w:rPr>
        <w:t>全检查与隐患排查</w:t>
      </w:r>
    </w:p>
    <w:p w14:paraId="5A19B347">
      <w:pPr>
        <w:ind w:firstLine="480"/>
        <w:rPr>
          <w:rFonts w:hint="default"/>
          <w:lang w:val="en-US"/>
        </w:rPr>
      </w:pPr>
      <w:r>
        <w:rPr>
          <w:rFonts w:hint="default"/>
          <w:lang w:val="en-US"/>
        </w:rPr>
        <w:t>建立定期安全检查与隐患排查制度，由项目部安全管理人员组织进行日常安全检查、每周安全大检查和每月安全综合检查。检查内容包括施工现场安全防护、设备设施安全、用电安全、防火安全等。对检查中发现的安全隐患，下达《安全隐患整改通知书》，责令责任单位限期整改，并对整改情况进行复查。同时，鼓励施工人员积极举报安全隐患，对举报人员给予奖励，形成全员参与的安全隐患排查机制。</w:t>
      </w:r>
    </w:p>
    <w:p w14:paraId="5FCF7F29">
      <w:pPr>
        <w:pStyle w:val="5"/>
        <w:numPr>
          <w:ilvl w:val="3"/>
          <w:numId w:val="17"/>
        </w:numPr>
        <w:bidi w:val="0"/>
        <w:rPr>
          <w:rFonts w:hint="default"/>
          <w:lang w:val="en-US"/>
        </w:rPr>
      </w:pPr>
      <w:r>
        <w:rPr>
          <w:rFonts w:hint="default"/>
          <w:lang w:val="en-US"/>
        </w:rPr>
        <w:t>应急</w:t>
      </w:r>
      <w:r>
        <w:rPr>
          <w:rFonts w:hint="eastAsia"/>
          <w:lang w:val="en-US" w:eastAsia="zh-CN"/>
        </w:rPr>
        <w:t>处置</w:t>
      </w:r>
      <w:r>
        <w:rPr>
          <w:rFonts w:hint="default"/>
          <w:lang w:val="en-US"/>
        </w:rPr>
        <w:t>管理</w:t>
      </w:r>
    </w:p>
    <w:p w14:paraId="4C3DFDF5">
      <w:pPr>
        <w:ind w:firstLine="480"/>
        <w:rPr>
          <w:rFonts w:hint="default"/>
          <w:lang w:val="en-US"/>
        </w:rPr>
      </w:pPr>
      <w:r>
        <w:rPr>
          <w:rFonts w:hint="default"/>
          <w:lang w:val="en-US"/>
        </w:rPr>
        <w:t>制定完善的应急救援预案，针对可能发生的火灾、高处坠落、触电等事故，制定相应的应急处置措施。成立应急救援队伍，配备应急救援器材和设备，定期组织应急救援演练，提高应急救援能力。在施工现场设置应急救援通道和应急救援物资储备点，确保应急救援时能够快速响应、及时处置。同时，与当地应急管理部门、医院等建立联动机制，在发生事故时能够及时寻求外部救援支持。</w:t>
      </w:r>
    </w:p>
    <w:p w14:paraId="02B962E6">
      <w:pPr>
        <w:ind w:firstLine="480"/>
        <w:rPr>
          <w:rFonts w:hint="default" w:eastAsia="仿宋_GB2312"/>
          <w:lang w:val="en-US" w:eastAsia="zh-CN"/>
        </w:rPr>
      </w:pPr>
      <w:r>
        <w:rPr>
          <w:rFonts w:hint="eastAsia"/>
          <w:lang w:val="en-US" w:eastAsia="zh-CN"/>
        </w:rPr>
        <w:t>应急处置流程如下：</w:t>
      </w:r>
    </w:p>
    <w:p w14:paraId="3236C4C6">
      <w:pPr>
        <w:ind w:firstLine="480"/>
        <w:rPr>
          <w:rFonts w:hint="eastAsia"/>
          <w:lang w:val="en-US"/>
        </w:rPr>
      </w:pPr>
      <w:r>
        <w:rPr>
          <w:rFonts w:hint="eastAsia"/>
          <w:lang w:val="en-US"/>
        </w:rPr>
        <w:t>（一）事故报告</w:t>
      </w:r>
    </w:p>
    <w:p w14:paraId="506F92BC">
      <w:pPr>
        <w:ind w:firstLine="480"/>
        <w:rPr>
          <w:rFonts w:hint="eastAsia"/>
          <w:lang w:val="en-US"/>
        </w:rPr>
      </w:pPr>
      <w:r>
        <w:rPr>
          <w:rFonts w:hint="eastAsia"/>
          <w:lang w:val="en-US"/>
        </w:rPr>
        <w:t>施工现场一旦发生突发事件，现场人员应立即向施工队长报告，施工队长在初步了解情况后，迅速向应急指挥中心报告。报告内容包括事故发生的时间、地点、性质、影响范围、人员伤亡和财产损失情况等。</w:t>
      </w:r>
    </w:p>
    <w:p w14:paraId="54FA79C8">
      <w:pPr>
        <w:ind w:firstLine="480"/>
        <w:rPr>
          <w:rFonts w:hint="eastAsia"/>
          <w:lang w:val="en-US"/>
        </w:rPr>
      </w:pPr>
      <w:r>
        <w:rPr>
          <w:rFonts w:hint="eastAsia"/>
          <w:lang w:val="en-US"/>
        </w:rPr>
        <w:t>（二）应急响应启动</w:t>
      </w:r>
    </w:p>
    <w:p w14:paraId="263966A2">
      <w:pPr>
        <w:ind w:firstLine="480"/>
        <w:rPr>
          <w:rFonts w:hint="eastAsia"/>
          <w:lang w:val="en-US"/>
        </w:rPr>
      </w:pPr>
      <w:r>
        <w:rPr>
          <w:rFonts w:hint="eastAsia"/>
          <w:lang w:val="en-US"/>
        </w:rPr>
        <w:t>应急指挥中心接到报告后，立即启动应急预案，通知各应急救援小组迅速赶赴现场。同时，向上级主管部门和相关单位报告事故情况。</w:t>
      </w:r>
    </w:p>
    <w:p w14:paraId="561F99C5">
      <w:pPr>
        <w:ind w:firstLine="480"/>
        <w:rPr>
          <w:rFonts w:hint="eastAsia"/>
          <w:lang w:val="en-US"/>
        </w:rPr>
      </w:pPr>
      <w:r>
        <w:rPr>
          <w:rFonts w:hint="eastAsia"/>
          <w:lang w:val="en-US"/>
        </w:rPr>
        <w:t>（三）现场处置</w:t>
      </w:r>
    </w:p>
    <w:p w14:paraId="542F6765">
      <w:pPr>
        <w:ind w:firstLine="480"/>
        <w:rPr>
          <w:rFonts w:hint="eastAsia"/>
          <w:lang w:val="en-US"/>
        </w:rPr>
      </w:pPr>
      <w:r>
        <w:rPr>
          <w:rFonts w:hint="eastAsia"/>
          <w:lang w:val="en-US"/>
        </w:rPr>
        <w:t>安全事故：如发生高处坠落、触电、起火等安全事故，抢险救援组迅速解救被困人员，医疗救护组对受伤人员进行急救。安全保卫组设置警戒区域，防止事故扩大。技术支持组协助制定救援方案。</w:t>
      </w:r>
    </w:p>
    <w:p w14:paraId="08C7068F">
      <w:pPr>
        <w:ind w:firstLine="480"/>
        <w:rPr>
          <w:rFonts w:hint="eastAsia"/>
          <w:lang w:val="en-US"/>
        </w:rPr>
      </w:pPr>
      <w:r>
        <w:rPr>
          <w:rFonts w:hint="eastAsia"/>
          <w:lang w:val="en-US"/>
        </w:rPr>
        <w:t>设备故障：设备出现故障时，技术支持组迅速分析故障原因，制定维修方案。抢险救援组协助维修人员进行抢修，尽快恢复设备运行。</w:t>
      </w:r>
    </w:p>
    <w:p w14:paraId="7F9458B0">
      <w:pPr>
        <w:ind w:firstLine="480"/>
        <w:rPr>
          <w:rFonts w:hint="eastAsia"/>
          <w:lang w:val="en-US"/>
        </w:rPr>
      </w:pPr>
      <w:r>
        <w:rPr>
          <w:rFonts w:hint="eastAsia"/>
          <w:lang w:val="en-US"/>
        </w:rPr>
        <w:t>应急结束：当突发事件得到有效控制，危害因素排除，经应急指挥中心确认后，宣布应急结束。对事故现场进行清理和恢复，总结应急处置经验教训。</w:t>
      </w:r>
    </w:p>
    <w:p w14:paraId="2D21BA11">
      <w:pPr>
        <w:ind w:firstLine="480"/>
        <w:rPr>
          <w:rFonts w:hint="default"/>
          <w:lang w:val="en-US"/>
        </w:rPr>
      </w:pPr>
    </w:p>
    <w:p w14:paraId="42EDE49A">
      <w:pPr>
        <w:pStyle w:val="4"/>
        <w:numPr>
          <w:ilvl w:val="2"/>
          <w:numId w:val="17"/>
        </w:numPr>
        <w:bidi w:val="0"/>
        <w:rPr>
          <w:rFonts w:hint="default"/>
          <w:lang w:val="en-US"/>
        </w:rPr>
      </w:pPr>
      <w:bookmarkStart w:id="244" w:name="_Toc13575"/>
      <w:r>
        <w:rPr>
          <w:rFonts w:hint="default"/>
          <w:lang w:val="en-US"/>
        </w:rPr>
        <w:t>文明施工保障措施</w:t>
      </w:r>
      <w:bookmarkEnd w:id="244"/>
    </w:p>
    <w:p w14:paraId="02B7BA6C">
      <w:pPr>
        <w:ind w:firstLine="480"/>
        <w:rPr>
          <w:rFonts w:hint="default"/>
          <w:lang w:val="en-US"/>
        </w:rPr>
      </w:pPr>
      <w:r>
        <w:rPr>
          <w:rFonts w:hint="eastAsia"/>
          <w:lang w:val="en-US" w:eastAsia="zh-CN"/>
        </w:rPr>
        <w:t>1.</w:t>
      </w:r>
      <w:r>
        <w:rPr>
          <w:rFonts w:hint="default"/>
          <w:lang w:val="en-US"/>
        </w:rPr>
        <w:t>统一着装、统一标识</w:t>
      </w:r>
    </w:p>
    <w:p w14:paraId="5EDA2098">
      <w:pPr>
        <w:ind w:firstLine="480"/>
        <w:rPr>
          <w:rFonts w:hint="default"/>
          <w:lang w:val="en-US"/>
        </w:rPr>
      </w:pPr>
      <w:r>
        <w:rPr>
          <w:rFonts w:hint="default"/>
          <w:lang w:val="en-US"/>
        </w:rPr>
        <w:t>施工人员统一穿着印有公司标志和项目名称的工作服，佩戴安全帽和工作牌。施工现场的机械设备、临时设施、材料堆场等设置统一的标识牌，明确标识内容包括设备名称、责任人、安全注意事项等。统一着装和统一标识不仅能够展示项目的良好形象，还便于施工现场的管理和识别，提高施工人员的归属感和责任感。</w:t>
      </w:r>
    </w:p>
    <w:p w14:paraId="31861851">
      <w:pPr>
        <w:ind w:firstLine="480"/>
        <w:rPr>
          <w:rFonts w:hint="default"/>
          <w:lang w:val="en-US"/>
        </w:rPr>
      </w:pPr>
      <w:r>
        <w:rPr>
          <w:rFonts w:hint="eastAsia"/>
          <w:lang w:val="en-US" w:eastAsia="zh-CN"/>
        </w:rPr>
        <w:t>2.</w:t>
      </w:r>
      <w:r>
        <w:rPr>
          <w:rFonts w:hint="default"/>
          <w:lang w:val="en-US"/>
        </w:rPr>
        <w:t xml:space="preserve"> 工完场清、生态恢复</w:t>
      </w:r>
    </w:p>
    <w:p w14:paraId="38616120">
      <w:pPr>
        <w:ind w:firstLine="480"/>
        <w:rPr>
          <w:rFonts w:hint="default"/>
          <w:lang w:val="en-US"/>
        </w:rPr>
      </w:pPr>
      <w:r>
        <w:rPr>
          <w:rFonts w:hint="default"/>
          <w:lang w:val="en-US"/>
        </w:rPr>
        <w:t>施工过程中，坚持“工完场清”的原则，每道工序完成后，及时清理施工现场的建筑垃圾、废弃材料等，保持施工现场整洁有序。施工结束后，对施工区域进行全面清理，恢复原有地形地貌。对施工过程中破坏的植被，及时进行覆土、种草、植树等生态恢复措施，确保生态环境得到有效恢复。同时，对施工区域周边的环境卫生进行清理，做到不留下任何垃圾和杂物，保护周边生态环境。</w:t>
      </w:r>
    </w:p>
    <w:p w14:paraId="2A795F47">
      <w:pPr>
        <w:ind w:firstLine="480"/>
        <w:rPr>
          <w:rFonts w:hint="default"/>
          <w:lang w:val="en-US"/>
        </w:rPr>
      </w:pPr>
      <w:r>
        <w:rPr>
          <w:rFonts w:hint="eastAsia"/>
          <w:lang w:val="en-US" w:eastAsia="zh-CN"/>
        </w:rPr>
        <w:t>3.</w:t>
      </w:r>
      <w:r>
        <w:rPr>
          <w:rFonts w:hint="default"/>
          <w:lang w:val="en-US"/>
        </w:rPr>
        <w:t xml:space="preserve"> 降噪、降尘、不扰民</w:t>
      </w:r>
    </w:p>
    <w:p w14:paraId="2E43612D">
      <w:pPr>
        <w:ind w:firstLine="480"/>
        <w:rPr>
          <w:rFonts w:hint="default"/>
          <w:lang w:val="en-US"/>
        </w:rPr>
      </w:pPr>
      <w:r>
        <w:rPr>
          <w:rFonts w:hint="default"/>
          <w:lang w:val="en-US"/>
        </w:rPr>
        <w:t>采取有效的降噪、降尘措施，减少施工对周边环境的影响。在施工现场设置隔音屏障，选用低噪音的施工机械设备，合理安排施工时间，避免在居民休息时间进行高噪音作业。对易产生扬尘的施工环节，如土方开挖、材料运输等，采取洒水降尘、覆盖防尘网等措施，减少扬尘污染。同时，加强与周边居民的沟通协调，及时了解居民的意见和需求，对施工过程中可能影响居民生活的情况提前告知，争取居民的理解和支持，做到施工不扰民。</w:t>
      </w:r>
    </w:p>
    <w:p w14:paraId="019E8A94">
      <w:pPr>
        <w:ind w:firstLine="480"/>
        <w:rPr>
          <w:rFonts w:hint="default"/>
          <w:lang w:val="en-US"/>
        </w:rPr>
      </w:pPr>
      <w:r>
        <w:rPr>
          <w:rFonts w:hint="eastAsia"/>
          <w:lang w:val="en-US" w:eastAsia="zh-CN"/>
        </w:rPr>
        <w:t>4.</w:t>
      </w:r>
      <w:r>
        <w:rPr>
          <w:rFonts w:hint="default"/>
          <w:lang w:val="en-US"/>
        </w:rPr>
        <w:t>现场管理与环境保护</w:t>
      </w:r>
    </w:p>
    <w:p w14:paraId="720C2112">
      <w:pPr>
        <w:ind w:firstLine="480"/>
        <w:rPr>
          <w:rFonts w:hint="default"/>
          <w:lang w:val="en-US"/>
        </w:rPr>
      </w:pPr>
      <w:r>
        <w:rPr>
          <w:rFonts w:hint="default"/>
          <w:lang w:val="en-US"/>
        </w:rPr>
        <w:t>加强施工现场管理，合理规划施工区域，设置材料堆放区、加工区、生活区等，确保施工现场布局合理、井然有序。材料堆放整齐，分类标识明确，避免材料混乱堆放。施工现场的生活污水、废水等进行妥善处理，严禁随意排放。对施工过程中产生的固体废弃物，进行分类收集和处理，可回收利用的进行回收利用，不可回收的及时清运至指定的垃圾处理场所。同时，保护施工现场的文物古迹、古树名木等，严禁破坏。</w:t>
      </w:r>
    </w:p>
    <w:p w14:paraId="3AF1D631">
      <w:pPr>
        <w:ind w:firstLine="480"/>
        <w:rPr>
          <w:rFonts w:hint="default"/>
          <w:lang w:val="en-US"/>
        </w:rPr>
      </w:pPr>
      <w:r>
        <w:rPr>
          <w:rFonts w:hint="eastAsia"/>
          <w:lang w:val="en-US" w:eastAsia="zh-CN"/>
        </w:rPr>
        <w:t>5.</w:t>
      </w:r>
      <w:r>
        <w:rPr>
          <w:rFonts w:hint="default"/>
          <w:lang w:val="en-US"/>
        </w:rPr>
        <w:t xml:space="preserve"> 文明施工宣传与教育</w:t>
      </w:r>
    </w:p>
    <w:p w14:paraId="67690A2F">
      <w:pPr>
        <w:ind w:firstLine="480"/>
        <w:rPr>
          <w:rFonts w:hint="default"/>
          <w:lang w:val="en-US"/>
        </w:rPr>
      </w:pPr>
      <w:r>
        <w:rPr>
          <w:rFonts w:hint="default"/>
          <w:lang w:val="en-US"/>
        </w:rPr>
        <w:t>加强文明施工宣传与教育，通过张贴标语、发放宣传资料、开展文明施工培训等方式，提高施工人员的文明施工意识。在施工现场设置文明施工宣传栏，宣传文明施工的重要性和相关要求。定期组织文明施工检查和评比，对文明施工表现突出的班组和个人给予表彰和奖励，对不文明施工行为进行批评和处罚，营造文明施工的良好氛围。</w:t>
      </w:r>
    </w:p>
    <w:p w14:paraId="00FF2018">
      <w:pPr>
        <w:ind w:firstLine="480"/>
        <w:rPr>
          <w:rFonts w:hint="default"/>
          <w:lang w:val="en-US"/>
        </w:rPr>
      </w:pPr>
      <w:r>
        <w:rPr>
          <w:rFonts w:hint="default"/>
          <w:lang w:val="en-US"/>
        </w:rPr>
        <w:t>通过以上质量、安全、文明施工保障措施的实施，能够有效确保岳阳市森林火灾高风险区综合治理信息化建设项目的施工质量、施工安全和文明施工水平，实现项目建设与生态环境保护的协调发展，为项目的顺利推进和长期稳定运行奠定坚实基础。</w:t>
      </w:r>
    </w:p>
    <w:p w14:paraId="32F0DC9B">
      <w:pPr>
        <w:ind w:firstLine="480"/>
        <w:rPr>
          <w:rFonts w:hint="eastAsia"/>
          <w:lang w:val="en-US"/>
        </w:rPr>
      </w:pPr>
    </w:p>
    <w:p w14:paraId="04975464">
      <w:pPr>
        <w:pStyle w:val="5"/>
        <w:numPr>
          <w:ilvl w:val="3"/>
          <w:numId w:val="17"/>
        </w:numPr>
        <w:rPr>
          <w:rFonts w:hint="eastAsia"/>
          <w:lang w:val="en-US"/>
        </w:rPr>
      </w:pPr>
      <w:r>
        <w:rPr>
          <w:rFonts w:hint="eastAsia"/>
          <w:lang w:val="en-US"/>
        </w:rPr>
        <w:t>文明施工措施</w:t>
      </w:r>
    </w:p>
    <w:p w14:paraId="382FC8BF">
      <w:pPr>
        <w:ind w:firstLine="480"/>
        <w:rPr>
          <w:rFonts w:hint="eastAsia"/>
          <w:lang w:val="en-US"/>
        </w:rPr>
      </w:pPr>
      <w:r>
        <w:rPr>
          <w:rFonts w:hint="eastAsia"/>
          <w:lang w:val="en-US"/>
        </w:rPr>
        <w:t>①严格按照设计文件及相关的工程规范、质量标准进行安装和调测。</w:t>
      </w:r>
    </w:p>
    <w:p w14:paraId="4209C7F1">
      <w:pPr>
        <w:ind w:firstLine="480"/>
        <w:rPr>
          <w:rFonts w:hint="eastAsia"/>
          <w:lang w:val="en-US"/>
        </w:rPr>
      </w:pPr>
      <w:r>
        <w:rPr>
          <w:rFonts w:hint="eastAsia"/>
          <w:lang w:val="en-US"/>
        </w:rPr>
        <w:t>②遵守施工现场管理规定及工程施工管理办法，进出施工现场须填写进出记录。</w:t>
      </w:r>
    </w:p>
    <w:p w14:paraId="4C74C17A">
      <w:pPr>
        <w:ind w:firstLine="480"/>
        <w:rPr>
          <w:rFonts w:hint="eastAsia"/>
          <w:lang w:val="en-US"/>
        </w:rPr>
      </w:pPr>
      <w:r>
        <w:rPr>
          <w:rFonts w:hint="eastAsia"/>
          <w:lang w:val="en-US"/>
        </w:rPr>
        <w:t>③强化每一个员工的安全意识，加强施工队员的安全技术教育，认真执行国家相关安全规程。</w:t>
      </w:r>
    </w:p>
    <w:p w14:paraId="74B411A3">
      <w:pPr>
        <w:ind w:firstLine="480"/>
        <w:rPr>
          <w:rFonts w:hint="eastAsia"/>
          <w:lang w:val="en-US"/>
        </w:rPr>
      </w:pPr>
      <w:r>
        <w:rPr>
          <w:rFonts w:hint="eastAsia"/>
          <w:lang w:val="en-US"/>
        </w:rPr>
        <w:t>④完善施工现场管理制度，让每一项工作有条不紊的开展。</w:t>
      </w:r>
    </w:p>
    <w:p w14:paraId="2274E283">
      <w:pPr>
        <w:ind w:firstLine="480"/>
        <w:rPr>
          <w:rFonts w:hint="eastAsia"/>
          <w:lang w:val="en-US"/>
        </w:rPr>
      </w:pPr>
      <w:r>
        <w:rPr>
          <w:rFonts w:hint="eastAsia"/>
          <w:lang w:val="en-US"/>
        </w:rPr>
        <w:t>⑤建立机械、电气的安全生产管理制度，所有用电设备均做好接地保护，使用前做认真检查，以防发生意外事故。</w:t>
      </w:r>
    </w:p>
    <w:p w14:paraId="3CBE8C61">
      <w:pPr>
        <w:ind w:firstLine="480"/>
        <w:rPr>
          <w:rFonts w:hint="eastAsia"/>
          <w:lang w:val="en-US"/>
        </w:rPr>
      </w:pPr>
      <w:r>
        <w:rPr>
          <w:rFonts w:hint="eastAsia"/>
          <w:lang w:val="en-US"/>
        </w:rPr>
        <w:t>⑥加强设备、材料的管理，做到一切往来的工程设备、材料有单可查，同时做好防火、防盗工作。</w:t>
      </w:r>
    </w:p>
    <w:p w14:paraId="740B6450">
      <w:pPr>
        <w:ind w:firstLine="480"/>
        <w:rPr>
          <w:rFonts w:hint="eastAsia"/>
          <w:lang w:val="en-US"/>
        </w:rPr>
      </w:pPr>
      <w:r>
        <w:rPr>
          <w:rFonts w:hint="eastAsia"/>
          <w:lang w:val="en-US"/>
        </w:rPr>
        <w:t>⑦调测其间，如发现有关技术资料、数据、材料或者工作条件不符合有关规定，需立即报告，并采取适当措施，避免对设备造成损坏。</w:t>
      </w:r>
    </w:p>
    <w:p w14:paraId="7715C1D3">
      <w:pPr>
        <w:ind w:firstLine="480"/>
        <w:rPr>
          <w:rFonts w:hint="eastAsia"/>
          <w:lang w:val="en-US"/>
        </w:rPr>
      </w:pPr>
      <w:r>
        <w:rPr>
          <w:rFonts w:hint="eastAsia"/>
          <w:lang w:val="en-US"/>
        </w:rPr>
        <w:t>⑧施工过程中遇到业主投诉或阻工等相关问题，采取沟通的方式解决，保证不与业主发生争执。</w:t>
      </w:r>
    </w:p>
    <w:p w14:paraId="30CD8E4A">
      <w:pPr>
        <w:ind w:firstLine="480"/>
        <w:rPr>
          <w:rFonts w:hint="eastAsia"/>
          <w:lang w:val="en-US"/>
        </w:rPr>
      </w:pPr>
      <w:r>
        <w:rPr>
          <w:rFonts w:hint="eastAsia"/>
          <w:lang w:val="en-US"/>
        </w:rPr>
        <w:t>⑨施工过程不得高声喧哗，随意走动，乱闯；搬运和安装时轻拿轻放，不能因噪音过大而导致业主的拒装。遇到业主有疑难问题的，施工队必须耐心解释，避免因冲突造成矛盾升级。</w:t>
      </w:r>
    </w:p>
    <w:p w14:paraId="1CE3E01F">
      <w:pPr>
        <w:ind w:firstLine="480"/>
        <w:rPr>
          <w:rFonts w:hint="eastAsia"/>
          <w:lang w:val="en-US"/>
        </w:rPr>
      </w:pPr>
      <w:r>
        <w:rPr>
          <w:rFonts w:hint="eastAsia"/>
          <w:lang w:val="en-US"/>
        </w:rPr>
        <w:t>⑩在施工过程中要注意穿着，要求得体；有条件需做到服装统一。</w:t>
      </w:r>
    </w:p>
    <w:p w14:paraId="3CEB2E1D">
      <w:pPr>
        <w:ind w:firstLine="480"/>
        <w:rPr>
          <w:rFonts w:hint="eastAsia"/>
          <w:lang w:val="en-US"/>
        </w:rPr>
      </w:pPr>
      <w:r>
        <w:rPr>
          <w:rFonts w:hint="eastAsia"/>
          <w:lang w:val="en-US"/>
        </w:rPr>
        <w:t>⑪向物业借用的东西要及时归还，为日后的维护做好铺垫。</w:t>
      </w:r>
    </w:p>
    <w:p w14:paraId="5112A946">
      <w:pPr>
        <w:ind w:firstLine="480"/>
        <w:rPr>
          <w:rFonts w:hint="eastAsia"/>
          <w:lang w:val="en-US"/>
        </w:rPr>
      </w:pPr>
      <w:r>
        <w:rPr>
          <w:rFonts w:hint="eastAsia"/>
          <w:lang w:val="en-US"/>
        </w:rPr>
        <w:t>⑫施工过程必须坚决落实施工完、脚下清的责任制，每天的垃圾由操作工人或安排专人清理，并运往指定垃圾站堆放，按期送往消纳场，保证现场整洁，文明。</w:t>
      </w:r>
    </w:p>
    <w:p w14:paraId="0C5D87CF">
      <w:pPr>
        <w:ind w:firstLine="480"/>
        <w:rPr>
          <w:rFonts w:hint="eastAsia"/>
          <w:lang w:val="en-US"/>
        </w:rPr>
      </w:pPr>
      <w:r>
        <w:rPr>
          <w:rFonts w:hint="eastAsia"/>
          <w:lang w:val="en-US"/>
        </w:rPr>
        <w:t>⑬运输车辆不准带泥出现场，并做到沿途不遗洒运输物。</w:t>
      </w:r>
    </w:p>
    <w:p w14:paraId="6F8469FC">
      <w:pPr>
        <w:ind w:firstLine="480"/>
        <w:rPr>
          <w:rFonts w:hint="eastAsia"/>
          <w:lang w:val="en-US"/>
        </w:rPr>
      </w:pPr>
      <w:r>
        <w:rPr>
          <w:rFonts w:hint="eastAsia"/>
          <w:lang w:val="en-US"/>
        </w:rPr>
        <w:t>⑭每周对文明施工情况检查一次，与经济奖罚挂钩。</w:t>
      </w:r>
    </w:p>
    <w:p w14:paraId="16D88A72">
      <w:pPr>
        <w:ind w:firstLine="480"/>
        <w:rPr>
          <w:rFonts w:hint="eastAsia"/>
          <w:lang w:val="en-US"/>
        </w:rPr>
      </w:pPr>
      <w:r>
        <w:rPr>
          <w:rFonts w:hint="eastAsia"/>
          <w:lang w:val="en-US"/>
        </w:rPr>
        <w:t>⑮针对施工场景的不同，采取针对性的施工措施保障。</w:t>
      </w:r>
    </w:p>
    <w:p w14:paraId="2045A168">
      <w:pPr>
        <w:pStyle w:val="5"/>
        <w:numPr>
          <w:ilvl w:val="3"/>
          <w:numId w:val="17"/>
        </w:numPr>
        <w:rPr>
          <w:rFonts w:hint="eastAsia"/>
          <w:lang w:val="en-US"/>
        </w:rPr>
      </w:pPr>
      <w:r>
        <w:rPr>
          <w:rFonts w:hint="eastAsia"/>
          <w:lang w:val="en-US"/>
        </w:rPr>
        <w:t>文明施工防尘保护措施</w:t>
      </w:r>
    </w:p>
    <w:p w14:paraId="2CFEFFA4">
      <w:pPr>
        <w:ind w:firstLine="480"/>
        <w:rPr>
          <w:rFonts w:hint="eastAsia"/>
          <w:lang w:val="en-US"/>
        </w:rPr>
      </w:pPr>
      <w:r>
        <w:rPr>
          <w:rFonts w:hint="eastAsia"/>
          <w:lang w:val="en-US"/>
        </w:rPr>
        <w:t>施工垃圾在施工过程中随时清理，及时清理到甲方指定位置，不得堆放在材料运输路线和安全通道上。</w:t>
      </w:r>
    </w:p>
    <w:p w14:paraId="5C54DF8E">
      <w:pPr>
        <w:ind w:firstLine="480"/>
        <w:rPr>
          <w:rFonts w:hint="eastAsia"/>
          <w:lang w:val="en-US"/>
        </w:rPr>
      </w:pPr>
      <w:r>
        <w:rPr>
          <w:rFonts w:hint="eastAsia"/>
          <w:lang w:val="en-US"/>
        </w:rPr>
        <w:t>垃圾不得堆放在非垃圾堆放区外。</w:t>
      </w:r>
    </w:p>
    <w:p w14:paraId="706EDB97">
      <w:pPr>
        <w:ind w:firstLine="480"/>
        <w:rPr>
          <w:rFonts w:hint="eastAsia"/>
          <w:lang w:val="en-US"/>
        </w:rPr>
      </w:pPr>
      <w:r>
        <w:rPr>
          <w:rFonts w:hint="eastAsia"/>
          <w:lang w:val="en-US"/>
        </w:rPr>
        <w:t>渣土、零星垃圾必须用编织袋盛装倒运。</w:t>
      </w:r>
    </w:p>
    <w:p w14:paraId="71E66A28">
      <w:pPr>
        <w:ind w:firstLine="480"/>
        <w:rPr>
          <w:rFonts w:hint="eastAsia"/>
          <w:lang w:val="en-US"/>
        </w:rPr>
      </w:pPr>
      <w:r>
        <w:rPr>
          <w:rFonts w:hint="eastAsia"/>
          <w:lang w:val="en-US"/>
        </w:rPr>
        <w:t>倒运垃圾不得造成扬尘、噪音等现象，严禁随意凌空抛撒造成扬尘。施工现场垃圾要及时清运，清运时适量洒水减少扬尘。</w:t>
      </w:r>
    </w:p>
    <w:p w14:paraId="670B8CB1">
      <w:pPr>
        <w:ind w:firstLine="480"/>
        <w:rPr>
          <w:rFonts w:hint="eastAsia"/>
          <w:lang w:val="en-US"/>
        </w:rPr>
      </w:pPr>
      <w:r>
        <w:rPr>
          <w:rFonts w:hint="eastAsia"/>
          <w:lang w:val="en-US"/>
        </w:rPr>
        <w:t>散水泥和其他易飞扬的细颗粒散体材料应尽量安排库内存放，如露天存放应采用严密遮盖，运输时防止扬尘。</w:t>
      </w:r>
    </w:p>
    <w:p w14:paraId="0ED5C0F2">
      <w:pPr>
        <w:ind w:firstLine="480"/>
        <w:rPr>
          <w:rFonts w:hint="eastAsia"/>
          <w:lang w:val="en-US"/>
        </w:rPr>
      </w:pPr>
      <w:r>
        <w:rPr>
          <w:rFonts w:hint="eastAsia"/>
          <w:lang w:val="en-US"/>
        </w:rPr>
        <w:t>拆除装修和设施时，配合洒水以减少扬尘污染。</w:t>
      </w:r>
    </w:p>
    <w:p w14:paraId="54BEE698">
      <w:pPr>
        <w:pStyle w:val="5"/>
        <w:numPr>
          <w:ilvl w:val="3"/>
          <w:numId w:val="17"/>
        </w:numPr>
        <w:rPr>
          <w:rFonts w:hint="eastAsia"/>
          <w:lang w:val="en-US"/>
        </w:rPr>
      </w:pPr>
      <w:r>
        <w:rPr>
          <w:rFonts w:hint="eastAsia"/>
          <w:lang w:val="en-US"/>
        </w:rPr>
        <w:t>文明施工施工环境保护措施</w:t>
      </w:r>
    </w:p>
    <w:p w14:paraId="1DABF286">
      <w:pPr>
        <w:ind w:firstLine="480"/>
        <w:rPr>
          <w:rFonts w:hint="eastAsia"/>
          <w:lang w:val="en-US"/>
        </w:rPr>
      </w:pPr>
      <w:r>
        <w:rPr>
          <w:rFonts w:hint="eastAsia"/>
          <w:lang w:val="en-US"/>
        </w:rPr>
        <w:t>施工环境的保护意识体现了施工人员的思想品德和行为素质，同时也是保证施工质量，施工进度，避免浪费，搞好协作单位关系的基础。</w:t>
      </w:r>
    </w:p>
    <w:p w14:paraId="09240DF1">
      <w:pPr>
        <w:ind w:firstLine="480"/>
        <w:rPr>
          <w:rFonts w:hint="eastAsia"/>
          <w:lang w:val="en-US"/>
        </w:rPr>
      </w:pPr>
      <w:r>
        <w:rPr>
          <w:rFonts w:hint="eastAsia"/>
          <w:lang w:val="en-US"/>
        </w:rPr>
        <w:t>协作单位施工时，注意保护环境。</w:t>
      </w:r>
    </w:p>
    <w:p w14:paraId="4C1A30C8">
      <w:pPr>
        <w:ind w:firstLine="480"/>
        <w:rPr>
          <w:rFonts w:hint="eastAsia"/>
          <w:lang w:val="en-US"/>
        </w:rPr>
      </w:pPr>
      <w:r>
        <w:rPr>
          <w:rFonts w:hint="eastAsia"/>
          <w:lang w:val="en-US"/>
        </w:rPr>
        <w:t>对已完半成品工序，在施工中注意爱护，防止造成损伤。</w:t>
      </w:r>
    </w:p>
    <w:p w14:paraId="301F2547">
      <w:pPr>
        <w:ind w:firstLine="480"/>
        <w:rPr>
          <w:rFonts w:hint="eastAsia"/>
          <w:lang w:val="en-US"/>
        </w:rPr>
      </w:pPr>
      <w:r>
        <w:rPr>
          <w:rFonts w:hint="eastAsia"/>
          <w:lang w:val="en-US"/>
        </w:rPr>
        <w:t>爱护工地范围内的一切生产生活设施，花草树木禁止破坏。</w:t>
      </w:r>
    </w:p>
    <w:p w14:paraId="172E7095">
      <w:pPr>
        <w:ind w:firstLine="480"/>
        <w:rPr>
          <w:rFonts w:hint="eastAsia"/>
          <w:lang w:val="en-US"/>
        </w:rPr>
      </w:pPr>
      <w:r>
        <w:rPr>
          <w:rFonts w:hint="eastAsia"/>
          <w:lang w:val="en-US"/>
        </w:rPr>
        <w:t>杜绝人为敲打、叫嚷、野蛮装卸噪声等现象，最大限度的减少噪声。</w:t>
      </w:r>
    </w:p>
    <w:p w14:paraId="53A70815">
      <w:pPr>
        <w:pStyle w:val="5"/>
        <w:numPr>
          <w:ilvl w:val="3"/>
          <w:numId w:val="17"/>
        </w:numPr>
        <w:bidi w:val="0"/>
        <w:rPr>
          <w:rFonts w:hint="default"/>
          <w:lang w:val="en-US"/>
        </w:rPr>
      </w:pPr>
      <w:r>
        <w:rPr>
          <w:rFonts w:hint="default"/>
          <w:lang w:val="en-US"/>
        </w:rPr>
        <w:t>文明施工宣传与教育</w:t>
      </w:r>
    </w:p>
    <w:p w14:paraId="0887BAB3">
      <w:pPr>
        <w:ind w:firstLine="480"/>
        <w:rPr>
          <w:rFonts w:hint="default"/>
          <w:lang w:val="en-US"/>
        </w:rPr>
      </w:pPr>
      <w:r>
        <w:rPr>
          <w:rFonts w:hint="default"/>
          <w:lang w:val="en-US"/>
        </w:rPr>
        <w:t>加强文明施工宣传与教育，通过张贴标语、发放宣传资料、开展文明施工培训等方式，提高施工人员的文明施工意识。在施工现场设置文明施工宣传栏，宣传文明施工的重要性和相关要求。定期组织文明施工检查和评比，对文明施工表现突出的班组和个人给予表彰和奖励，对不文明施工行为进行批评和处罚，营造文明施工的良好氛围。</w:t>
      </w:r>
    </w:p>
    <w:p w14:paraId="7E33848E">
      <w:pPr>
        <w:ind w:firstLine="480"/>
        <w:rPr>
          <w:rFonts w:hint="default"/>
          <w:lang w:val="en-US"/>
        </w:rPr>
      </w:pPr>
      <w:r>
        <w:rPr>
          <w:rFonts w:hint="default"/>
          <w:lang w:val="en-US"/>
        </w:rPr>
        <w:t>通过以上质量、安全、文明施工保障措施的实施，能够有效确保岳阳市森林火灾高风险区综合治理信息化建设项目的施工质量、施工安全和文明施工水平，实现项目建设与生态环境保护的协调发展，为项目的顺利推进和长期稳定运行奠定坚实基础。</w:t>
      </w:r>
    </w:p>
    <w:p w14:paraId="13260AF1">
      <w:pPr>
        <w:ind w:firstLine="480"/>
        <w:rPr>
          <w:rFonts w:hint="eastAsia"/>
          <w:lang w:val="en-US"/>
        </w:rPr>
      </w:pPr>
    </w:p>
    <w:bookmarkEnd w:id="204"/>
    <w:bookmarkEnd w:id="205"/>
    <w:bookmarkEnd w:id="206"/>
    <w:bookmarkEnd w:id="207"/>
    <w:p w14:paraId="75B7E965">
      <w:pPr>
        <w:pStyle w:val="2"/>
        <w:numPr>
          <w:ilvl w:val="0"/>
          <w:numId w:val="17"/>
        </w:numPr>
        <w:rPr>
          <w:rFonts w:hint="eastAsia"/>
          <w:lang w:val="en-US"/>
        </w:rPr>
      </w:pPr>
      <w:bookmarkStart w:id="245" w:name="_Toc28948"/>
      <w:bookmarkStart w:id="246" w:name="_Toc973169859_WPSOffice_Level1"/>
      <w:bookmarkStart w:id="247" w:name="_Toc10813"/>
      <w:bookmarkStart w:id="248" w:name="_Toc1491404869_WPSOffice_Level1"/>
      <w:bookmarkStart w:id="249" w:name="_Toc1119650483_WPSOffice_Level1"/>
      <w:bookmarkStart w:id="250" w:name="_Toc222024577_WPSOffice_Level1"/>
      <w:r>
        <w:rPr>
          <w:rFonts w:hint="eastAsia"/>
          <w:lang w:val="en-US"/>
        </w:rPr>
        <w:t>项目管理</w:t>
      </w:r>
      <w:bookmarkEnd w:id="245"/>
    </w:p>
    <w:p w14:paraId="75B7E966">
      <w:pPr>
        <w:pStyle w:val="3"/>
        <w:numPr>
          <w:ilvl w:val="1"/>
          <w:numId w:val="17"/>
        </w:numPr>
        <w:rPr>
          <w:lang w:val="en-US"/>
        </w:rPr>
      </w:pPr>
      <w:bookmarkStart w:id="251" w:name="_Toc29811"/>
      <w:r>
        <w:rPr>
          <w:rFonts w:hint="eastAsia"/>
          <w:lang w:val="en-US"/>
        </w:rPr>
        <w:t>项目组织机构和人员</w:t>
      </w:r>
      <w:bookmarkEnd w:id="251"/>
    </w:p>
    <w:p w14:paraId="75B7E967">
      <w:pPr>
        <w:ind w:firstLine="480"/>
        <w:rPr>
          <w:rFonts w:hint="eastAsia"/>
        </w:rPr>
      </w:pPr>
      <w:r>
        <w:rPr>
          <w:rFonts w:hint="eastAsia"/>
        </w:rPr>
        <w:t>为保障湖南省岳阳市森林火灾高风险区综合治理项目的顺利实施，建议在岳阳市</w:t>
      </w:r>
      <w:r>
        <w:rPr>
          <w:rFonts w:hint="eastAsia"/>
          <w:lang w:val="en-US"/>
        </w:rPr>
        <w:t>林业局</w:t>
      </w:r>
      <w:r>
        <w:rPr>
          <w:rFonts w:hint="eastAsia"/>
        </w:rPr>
        <w:t>建设领导小组办公室，在领导小组办公室的统筹管理下对项目建设进行管理和监督。</w:t>
      </w:r>
    </w:p>
    <w:p w14:paraId="75B7E968">
      <w:pPr>
        <w:ind w:firstLine="480"/>
        <w:rPr>
          <w:rFonts w:hint="eastAsia"/>
        </w:rPr>
      </w:pPr>
      <w:r>
        <w:rPr>
          <w:rFonts w:hint="eastAsia"/>
        </w:rPr>
        <w:t>项目工作领导小组（以下简称“领导小组”）是项目建设领导机构，对项目管理与实施中重大事项进行决策。领导小组下设办公室，具体负责落实领导小组决定，组织项目实施、验收、保障及日常管理工作，负责专项建设资金的申请、管理和核拨等工作。为保证项目建设的顺利实施，必须成立廉洁、高效、务实的组织管理机构，负责建设经费的安排使用、项目建设重点事项的决策和指导、工作协调和工程质量监督等。本项目由岳阳市林业局统一领导，成立项目建设领导小组，小组下设办公室，办公室设在岳阳市林业局，具体负责制定项目规划设计、施工组织和工程管理等工作，全面领导、指挥项目的实施，并且负责与有关部门的协调工作，解决项目实施中的重大问题。</w:t>
      </w:r>
    </w:p>
    <w:p w14:paraId="75B7E969">
      <w:pPr>
        <w:pStyle w:val="3"/>
        <w:numPr>
          <w:ilvl w:val="1"/>
          <w:numId w:val="17"/>
        </w:numPr>
      </w:pPr>
      <w:bookmarkStart w:id="252" w:name="_Toc18805"/>
      <w:r>
        <w:rPr>
          <w:rFonts w:hint="eastAsia"/>
        </w:rPr>
        <w:t>项目领导、实施和运维机构及组织管理</w:t>
      </w:r>
      <w:bookmarkEnd w:id="252"/>
    </w:p>
    <w:p w14:paraId="75B7E96A">
      <w:pPr>
        <w:pStyle w:val="4"/>
        <w:numPr>
          <w:ilvl w:val="2"/>
          <w:numId w:val="17"/>
        </w:numPr>
        <w:rPr>
          <w:rFonts w:hint="eastAsia"/>
        </w:rPr>
      </w:pPr>
      <w:bookmarkStart w:id="253" w:name="_Toc23553"/>
      <w:r>
        <w:rPr>
          <w:rFonts w:hint="eastAsia"/>
        </w:rPr>
        <w:t>项目领导</w:t>
      </w:r>
      <w:bookmarkEnd w:id="253"/>
    </w:p>
    <w:p w14:paraId="75B7E96B">
      <w:pPr>
        <w:ind w:firstLine="480"/>
        <w:rPr>
          <w:rFonts w:hint="eastAsia"/>
        </w:rPr>
      </w:pPr>
      <w:r>
        <w:rPr>
          <w:rFonts w:hint="eastAsia"/>
        </w:rPr>
        <w:t>为保障湖南省岳阳市森林火灾高风险区综合治理项目的顺利实施，建议在岳阳市</w:t>
      </w:r>
      <w:r>
        <w:rPr>
          <w:rFonts w:hint="eastAsia"/>
          <w:lang w:val="en-US"/>
        </w:rPr>
        <w:t>林业局</w:t>
      </w:r>
      <w:r>
        <w:rPr>
          <w:rFonts w:hint="eastAsia"/>
        </w:rPr>
        <w:t>建设领导小组办公室，在领导小组办公室的统筹管理下对项目建设进行管理和监督。</w:t>
      </w:r>
    </w:p>
    <w:p w14:paraId="75B7E96C">
      <w:pPr>
        <w:ind w:firstLine="480"/>
        <w:rPr>
          <w:rFonts w:hint="eastAsia"/>
        </w:rPr>
      </w:pPr>
      <w:r>
        <w:rPr>
          <w:rFonts w:hint="eastAsia"/>
        </w:rPr>
        <w:t>项目工作领导小组（以下简称“领导小组”）是项目建设领导机构，对项目管理与实施中重大事项进行决策。领导小组下设办公室，具体负责落实领导小组决定，组织项目实施、验收、保障及日常管理工作，负责专项建设资金的申请、管理和核拨等工作。为保证项目的正常运转，本着“高效精干 ”的原则，根据项目组织管理的需要，拟设办公室主任 1 人，副主任 1 人，负责项目的日常管理工作；财会人员 1 人，森林防灭火方面的专业人员 1-2 人，共计 4-5 人。人员在岳阳市林业局内择优聘用，不另行增加编制，将各项管理工作纳入岳阳市林业局的日常管理范围。</w:t>
      </w:r>
    </w:p>
    <w:p w14:paraId="75B7E96D">
      <w:pPr>
        <w:pStyle w:val="4"/>
        <w:numPr>
          <w:ilvl w:val="2"/>
          <w:numId w:val="17"/>
        </w:numPr>
        <w:rPr>
          <w:rFonts w:hint="eastAsia"/>
        </w:rPr>
      </w:pPr>
      <w:bookmarkStart w:id="254" w:name="_Toc8916"/>
      <w:r>
        <w:rPr>
          <w:rFonts w:hint="eastAsia"/>
        </w:rPr>
        <w:t>实施</w:t>
      </w:r>
      <w:r>
        <w:rPr>
          <w:rFonts w:hint="eastAsia"/>
          <w:lang w:val="en-US"/>
        </w:rPr>
        <w:t>机构</w:t>
      </w:r>
      <w:bookmarkEnd w:id="254"/>
    </w:p>
    <w:p w14:paraId="75B7E96E">
      <w:pPr>
        <w:ind w:firstLine="480"/>
        <w:rPr>
          <w:rFonts w:hint="eastAsia"/>
        </w:rPr>
      </w:pPr>
      <w:r>
        <w:rPr>
          <w:rFonts w:hint="eastAsia"/>
        </w:rPr>
        <w:t>建设单位负责项目的组织实施、监督管理、方案设计、项目的试运行及使用，项目承建单位负责项目的具体建设及运维，项目监理单位负责项目建设的工程质量控制、进度控制和资金使用控制。</w:t>
      </w:r>
    </w:p>
    <w:p w14:paraId="75B7E96F">
      <w:pPr>
        <w:ind w:firstLine="480"/>
        <w:rPr>
          <w:rFonts w:hint="eastAsia"/>
        </w:rPr>
      </w:pPr>
      <w:r>
        <w:rPr>
          <w:rFonts w:hint="eastAsia"/>
        </w:rPr>
        <w:t>项目组织应注意以下几点：</w:t>
      </w:r>
    </w:p>
    <w:p w14:paraId="75B7E970">
      <w:pPr>
        <w:ind w:firstLine="480"/>
        <w:rPr>
          <w:rFonts w:hint="eastAsia"/>
        </w:rPr>
      </w:pPr>
      <w:r>
        <w:rPr>
          <w:rFonts w:hint="eastAsia"/>
        </w:rPr>
        <w:t>项目实施过程中采用国际上通行的项目管理方法，对各应用的建设进程进行全程跟踪、分阶段评估和认证，确保整个项目按期按质完成。</w:t>
      </w:r>
    </w:p>
    <w:p w14:paraId="75B7E971">
      <w:pPr>
        <w:ind w:firstLine="480"/>
        <w:rPr>
          <w:rFonts w:hint="eastAsia"/>
        </w:rPr>
      </w:pPr>
      <w:r>
        <w:rPr>
          <w:rFonts w:hint="eastAsia"/>
        </w:rPr>
        <w:t>在项目实施的过程中，以合同方式明确委托方与研制方的责任，确保项目建设的进度与质量，充分发挥合作伙伴的作用、明确其所具有的职责。</w:t>
      </w:r>
    </w:p>
    <w:p w14:paraId="75B7E972">
      <w:pPr>
        <w:ind w:firstLine="480"/>
        <w:rPr>
          <w:rFonts w:hint="eastAsia"/>
        </w:rPr>
      </w:pPr>
      <w:r>
        <w:rPr>
          <w:rFonts w:hint="eastAsia"/>
        </w:rPr>
        <w:t>建立健全从需求分析、设计、测试到项目实施，以及设备现场使用培训等一整套项目管理规范，以提供项目实施的制度保证。</w:t>
      </w:r>
    </w:p>
    <w:p w14:paraId="75B7E973">
      <w:pPr>
        <w:ind w:firstLine="480"/>
        <w:rPr>
          <w:rFonts w:hint="eastAsia"/>
        </w:rPr>
      </w:pPr>
      <w:r>
        <w:rPr>
          <w:rFonts w:hint="eastAsia"/>
        </w:rPr>
        <w:t>在项目实施中，使用人员和技术人员共同参与，并做好相应的现场培训工作，以提供业务系统的正常运行和日常维护保证。</w:t>
      </w:r>
    </w:p>
    <w:p w14:paraId="75B7E974">
      <w:pPr>
        <w:ind w:firstLine="480"/>
        <w:rPr>
          <w:rFonts w:hint="eastAsia"/>
        </w:rPr>
      </w:pPr>
      <w:r>
        <w:rPr>
          <w:rFonts w:hint="eastAsia"/>
        </w:rPr>
        <w:t>制定在项目实施过程中的技术文档的编写、审核和管理规范，使项目的相关技术文档达到充分、清晰和高质量的标准，以提供项目验收的文档资料保证。</w:t>
      </w:r>
    </w:p>
    <w:p w14:paraId="75B7E975">
      <w:pPr>
        <w:ind w:firstLine="480"/>
        <w:rPr>
          <w:rFonts w:hint="eastAsia"/>
        </w:rPr>
      </w:pPr>
      <w:r>
        <w:rPr>
          <w:rFonts w:hint="eastAsia"/>
        </w:rPr>
        <w:t>严把质量关，确保项目实施质量第一。在项目实施过程中，在保证系统项目质量的前提下，努力降低用户对系统的拥有成本，以提供项目实施的效益保证。</w:t>
      </w:r>
    </w:p>
    <w:p w14:paraId="75B7E976">
      <w:pPr>
        <w:ind w:firstLine="480"/>
        <w:rPr>
          <w:rFonts w:hint="eastAsia"/>
        </w:rPr>
      </w:pPr>
      <w:r>
        <w:rPr>
          <w:rFonts w:hint="eastAsia"/>
        </w:rPr>
        <w:t>项目实施领导机构具体工作职责为：</w:t>
      </w:r>
    </w:p>
    <w:p w14:paraId="75B7E977">
      <w:pPr>
        <w:ind w:firstLine="480"/>
        <w:rPr>
          <w:rFonts w:hint="eastAsia"/>
        </w:rPr>
      </w:pPr>
      <w:r>
        <w:rPr>
          <w:rFonts w:hint="eastAsia"/>
        </w:rPr>
        <w:t>对整个项目进行行政领导，协调各方各部门的工作，进行人员及各项资源的调配；</w:t>
      </w:r>
    </w:p>
    <w:p w14:paraId="75B7E978">
      <w:pPr>
        <w:ind w:firstLine="480"/>
        <w:rPr>
          <w:rFonts w:hint="eastAsia"/>
        </w:rPr>
      </w:pPr>
      <w:r>
        <w:rPr>
          <w:rFonts w:hint="eastAsia"/>
        </w:rPr>
        <w:t>参加定期举行的项目执行会议，对项目组提交的项目执行工作报告进行审议，依照计划来监督和控制项目的实施进度和质量；</w:t>
      </w:r>
    </w:p>
    <w:p w14:paraId="75B7E979">
      <w:pPr>
        <w:ind w:firstLine="480"/>
        <w:rPr>
          <w:rFonts w:hint="eastAsia"/>
        </w:rPr>
      </w:pPr>
      <w:r>
        <w:rPr>
          <w:rFonts w:hint="eastAsia"/>
        </w:rPr>
        <w:t>对项目实施过程中遇到的重大问题进行商讨和决策；</w:t>
      </w:r>
    </w:p>
    <w:p w14:paraId="75B7E97A">
      <w:pPr>
        <w:ind w:firstLine="480"/>
        <w:rPr>
          <w:rFonts w:hint="eastAsia"/>
        </w:rPr>
      </w:pPr>
      <w:r>
        <w:rPr>
          <w:rFonts w:hint="eastAsia"/>
        </w:rPr>
        <w:t>根据项目经理和项目组提交的验收测试报告对项目进行最终验收。</w:t>
      </w:r>
    </w:p>
    <w:p w14:paraId="75B7E97B">
      <w:pPr>
        <w:pStyle w:val="4"/>
        <w:numPr>
          <w:ilvl w:val="2"/>
          <w:numId w:val="17"/>
        </w:numPr>
        <w:rPr>
          <w:rFonts w:hint="eastAsia"/>
        </w:rPr>
      </w:pPr>
      <w:bookmarkStart w:id="255" w:name="_Toc31079"/>
      <w:r>
        <w:rPr>
          <w:rFonts w:hint="eastAsia"/>
        </w:rPr>
        <w:t>运维机构</w:t>
      </w:r>
      <w:bookmarkEnd w:id="255"/>
    </w:p>
    <w:p w14:paraId="75B7E97C">
      <w:pPr>
        <w:ind w:firstLine="480"/>
        <w:rPr>
          <w:rFonts w:hint="eastAsia"/>
        </w:rPr>
      </w:pPr>
      <w:r>
        <w:rPr>
          <w:rFonts w:hint="eastAsia"/>
        </w:rPr>
        <w:t>（1）由项目建设单位负责系统的运行维护。</w:t>
      </w:r>
    </w:p>
    <w:p w14:paraId="75B7E97D">
      <w:pPr>
        <w:ind w:firstLine="480"/>
        <w:rPr>
          <w:rFonts w:hint="eastAsia"/>
        </w:rPr>
      </w:pPr>
      <w:r>
        <w:rPr>
          <w:rFonts w:hint="eastAsia"/>
        </w:rPr>
        <w:t>（2）全面负责“湖南省岳阳市森林火灾高风险区综合治理</w:t>
      </w:r>
      <w:r>
        <w:rPr>
          <w:rFonts w:hint="eastAsia"/>
          <w:lang w:val="en-US"/>
        </w:rPr>
        <w:t>能力提升信息化建设</w:t>
      </w:r>
      <w:r>
        <w:rPr>
          <w:lang w:val="en-US"/>
        </w:rPr>
        <w:t>”</w:t>
      </w:r>
      <w:r>
        <w:rPr>
          <w:rFonts w:hint="eastAsia"/>
        </w:rPr>
        <w:t>维护与管理。</w:t>
      </w:r>
    </w:p>
    <w:p w14:paraId="75B7E97E">
      <w:pPr>
        <w:ind w:firstLine="480"/>
        <w:rPr>
          <w:rFonts w:hint="eastAsia"/>
        </w:rPr>
      </w:pPr>
      <w:r>
        <w:rPr>
          <w:rFonts w:hint="eastAsia"/>
        </w:rPr>
        <w:t>（3）协调内部有关系统运行的工作。</w:t>
      </w:r>
    </w:p>
    <w:p w14:paraId="75B7E97F">
      <w:pPr>
        <w:ind w:firstLine="480"/>
        <w:rPr>
          <w:rFonts w:hint="eastAsia"/>
        </w:rPr>
      </w:pPr>
      <w:r>
        <w:rPr>
          <w:rFonts w:hint="eastAsia"/>
        </w:rPr>
        <w:t>（4）组织推广业务应用系统。</w:t>
      </w:r>
    </w:p>
    <w:p w14:paraId="75B7E980">
      <w:pPr>
        <w:ind w:firstLine="480"/>
        <w:rPr>
          <w:rFonts w:hint="eastAsia"/>
        </w:rPr>
      </w:pPr>
      <w:r>
        <w:rPr>
          <w:rFonts w:hint="eastAsia"/>
        </w:rPr>
        <w:t>（5）组织应用软件的升级更新和后续开发工作。</w:t>
      </w:r>
    </w:p>
    <w:p w14:paraId="75B7E981">
      <w:pPr>
        <w:pStyle w:val="3"/>
        <w:numPr>
          <w:ilvl w:val="1"/>
          <w:numId w:val="17"/>
        </w:numPr>
      </w:pPr>
      <w:bookmarkStart w:id="256" w:name="_Toc16698"/>
      <w:r>
        <w:rPr>
          <w:rFonts w:hint="eastAsia"/>
        </w:rPr>
        <w:t>人员配置</w:t>
      </w:r>
      <w:bookmarkEnd w:id="256"/>
    </w:p>
    <w:p w14:paraId="75B7E982">
      <w:pPr>
        <w:pStyle w:val="4"/>
        <w:numPr>
          <w:ilvl w:val="2"/>
          <w:numId w:val="17"/>
        </w:numPr>
        <w:rPr>
          <w:rFonts w:hint="eastAsia"/>
        </w:rPr>
      </w:pPr>
      <w:bookmarkStart w:id="257" w:name="_Toc24841"/>
      <w:r>
        <w:rPr>
          <w:rFonts w:hint="eastAsia"/>
        </w:rPr>
        <w:t>项目建设技术人员配置</w:t>
      </w:r>
      <w:bookmarkEnd w:id="257"/>
    </w:p>
    <w:p w14:paraId="75B7E983">
      <w:pPr>
        <w:ind w:firstLine="480"/>
        <w:rPr>
          <w:rFonts w:hint="eastAsia"/>
        </w:rPr>
      </w:pPr>
      <w:bookmarkStart w:id="258" w:name="_Toc7459"/>
      <w:r>
        <w:rPr>
          <w:rFonts w:hint="eastAsia"/>
        </w:rPr>
        <w:t>本项目属于复杂的信息化工程，需要配备专业技术人员进行项目的建设管理、设计、施工及研发工作。</w:t>
      </w:r>
    </w:p>
    <w:p w14:paraId="75B7E984">
      <w:pPr>
        <w:ind w:firstLine="480"/>
        <w:rPr>
          <w:rFonts w:hint="eastAsia"/>
        </w:rPr>
      </w:pPr>
      <w:r>
        <w:rPr>
          <w:rFonts w:hint="eastAsia"/>
        </w:rPr>
        <w:t>本项目要求中标单位选派具有丰富信息化工程经验的项目经理和精深专业技术的工程师，结合其在机房建设、基础硬件、应用软件开发与实施方面的经验，提出较详细的项目实施计划，制订软硬件系统需求调研、系统分析和开发、实施、试运行、正式运行、验收等各项规范。</w:t>
      </w:r>
    </w:p>
    <w:bookmarkEnd w:id="258"/>
    <w:p w14:paraId="75B7E985">
      <w:pPr>
        <w:pStyle w:val="4"/>
        <w:numPr>
          <w:ilvl w:val="2"/>
          <w:numId w:val="17"/>
        </w:numPr>
        <w:rPr>
          <w:rFonts w:hint="eastAsia"/>
        </w:rPr>
      </w:pPr>
      <w:bookmarkStart w:id="259" w:name="_Toc19960"/>
      <w:r>
        <w:rPr>
          <w:rFonts w:hint="eastAsia"/>
        </w:rPr>
        <w:t>日常运营维护的技术人员</w:t>
      </w:r>
      <w:bookmarkEnd w:id="259"/>
    </w:p>
    <w:p w14:paraId="75B7E986">
      <w:pPr>
        <w:ind w:firstLine="480"/>
        <w:rPr>
          <w:rFonts w:hint="eastAsia"/>
        </w:rPr>
      </w:pPr>
      <w:r>
        <w:rPr>
          <w:rFonts w:hint="eastAsia"/>
        </w:rPr>
        <w:t>运行维护技术人员主要依靠项目承建方的相关技术人员进行对口管理。</w:t>
      </w:r>
    </w:p>
    <w:p w14:paraId="75B7E987">
      <w:pPr>
        <w:ind w:firstLine="480"/>
        <w:rPr>
          <w:rFonts w:hint="eastAsia"/>
        </w:rPr>
      </w:pPr>
      <w:r>
        <w:rPr>
          <w:rFonts w:hint="eastAsia"/>
        </w:rPr>
        <w:t>平台服务的运行维护包括系统平台日常报表处理、应急事件的处理、平台安全监控等。数据服务运行维护包括数据分析、数据库备份等。应用系统运行维护包括应用系统的日常操作、应答、安全防护等。</w:t>
      </w:r>
      <w:r>
        <w:rPr>
          <w:rFonts w:hint="eastAsia"/>
          <w:lang w:val="en-US"/>
        </w:rPr>
        <w:t>云</w:t>
      </w:r>
      <w:r>
        <w:rPr>
          <w:rFonts w:hint="eastAsia"/>
        </w:rPr>
        <w:t>资源维护包括资源调度、系统稳定性分析等。</w:t>
      </w:r>
    </w:p>
    <w:p w14:paraId="75B7E988">
      <w:pPr>
        <w:pStyle w:val="4"/>
        <w:numPr>
          <w:ilvl w:val="2"/>
          <w:numId w:val="17"/>
        </w:numPr>
        <w:rPr>
          <w:rFonts w:hint="eastAsia"/>
        </w:rPr>
      </w:pPr>
      <w:bookmarkStart w:id="260" w:name="_Toc19336"/>
      <w:r>
        <w:rPr>
          <w:rFonts w:hint="eastAsia"/>
        </w:rPr>
        <w:t>用户单位工作人员</w:t>
      </w:r>
      <w:bookmarkEnd w:id="260"/>
    </w:p>
    <w:p w14:paraId="75B7E989">
      <w:pPr>
        <w:ind w:firstLine="480"/>
        <w:rPr>
          <w:rFonts w:hint="eastAsia"/>
        </w:rPr>
      </w:pPr>
      <w:r>
        <w:rPr>
          <w:rFonts w:hint="eastAsia"/>
        </w:rPr>
        <w:t>能熟练地使用设备和应用软件处理日常工作业务，经过了系统的操作培训。</w:t>
      </w:r>
    </w:p>
    <w:p w14:paraId="75B7E98A">
      <w:pPr>
        <w:pStyle w:val="3"/>
        <w:numPr>
          <w:ilvl w:val="1"/>
          <w:numId w:val="17"/>
        </w:numPr>
        <w:rPr>
          <w:lang w:val="en-US"/>
        </w:rPr>
      </w:pPr>
      <w:bookmarkStart w:id="261" w:name="_Toc18802"/>
      <w:r>
        <w:rPr>
          <w:rFonts w:hint="eastAsia"/>
          <w:lang w:val="en-US"/>
        </w:rPr>
        <w:t>项目实施进度</w:t>
      </w:r>
      <w:bookmarkEnd w:id="261"/>
    </w:p>
    <w:p w14:paraId="75B7E98B">
      <w:pPr>
        <w:pStyle w:val="4"/>
        <w:numPr>
          <w:ilvl w:val="2"/>
          <w:numId w:val="17"/>
        </w:numPr>
        <w:rPr>
          <w:rFonts w:hint="eastAsia"/>
        </w:rPr>
      </w:pPr>
      <w:bookmarkStart w:id="262" w:name="_Toc24794"/>
      <w:r>
        <w:rPr>
          <w:rFonts w:hint="eastAsia"/>
        </w:rPr>
        <w:t>项目建设期</w:t>
      </w:r>
      <w:bookmarkEnd w:id="262"/>
    </w:p>
    <w:p w14:paraId="75B7E98C">
      <w:pPr>
        <w:ind w:firstLine="480"/>
        <w:rPr>
          <w:rFonts w:hint="eastAsia"/>
        </w:rPr>
      </w:pPr>
      <w:r>
        <w:rPr>
          <w:rFonts w:hint="eastAsia"/>
          <w:lang w:val="en-US"/>
        </w:rPr>
        <w:t>项目合同签订后</w:t>
      </w:r>
      <w:r>
        <w:rPr>
          <w:rFonts w:hint="eastAsia"/>
        </w:rPr>
        <w:t xml:space="preserve"> </w:t>
      </w:r>
      <w:r>
        <w:rPr>
          <w:rFonts w:hint="eastAsia"/>
          <w:lang w:val="en-US" w:eastAsia="zh-CN"/>
        </w:rPr>
        <w:t>5</w:t>
      </w:r>
      <w:r>
        <w:rPr>
          <w:rFonts w:hint="eastAsia"/>
        </w:rPr>
        <w:t xml:space="preserve"> </w:t>
      </w:r>
      <w:r>
        <w:rPr>
          <w:rFonts w:hint="eastAsia"/>
          <w:lang w:val="en-US" w:eastAsia="zh-CN"/>
        </w:rPr>
        <w:t>个月</w:t>
      </w:r>
      <w:r>
        <w:rPr>
          <w:rFonts w:hint="eastAsia"/>
        </w:rPr>
        <w:t>。</w:t>
      </w:r>
    </w:p>
    <w:p w14:paraId="64EEB335">
      <w:pPr>
        <w:pStyle w:val="4"/>
        <w:numPr>
          <w:ilvl w:val="2"/>
          <w:numId w:val="17"/>
        </w:numPr>
        <w:rPr>
          <w:rFonts w:hint="default"/>
          <w:highlight w:val="none"/>
          <w:lang w:val="en-US" w:eastAsia="zh-CN"/>
        </w:rPr>
      </w:pPr>
      <w:bookmarkStart w:id="263" w:name="_Toc18526"/>
      <w:r>
        <w:rPr>
          <w:rFonts w:hint="eastAsia"/>
          <w:highlight w:val="none"/>
          <w:lang w:val="en-US" w:eastAsia="zh-CN"/>
        </w:rPr>
        <w:t>实施进度</w:t>
      </w:r>
      <w:bookmarkEnd w:id="263"/>
    </w:p>
    <w:p w14:paraId="61BB0744">
      <w:pPr>
        <w:ind w:firstLine="480"/>
        <w:rPr>
          <w:rFonts w:hint="default"/>
          <w:highlight w:val="none"/>
          <w:lang w:val="en-US" w:eastAsia="zh-CN"/>
        </w:rPr>
      </w:pPr>
      <w:r>
        <w:rPr>
          <w:rFonts w:hint="eastAsia"/>
          <w:highlight w:val="none"/>
        </w:rPr>
        <w:t>根据项目计划安排，建设规模、采购计划等特点配置多名专业技术和施工人员，采用合理的施工部署、先进的施工工艺和先进的管理方法，对本项目进行全过程监控和实施。精心组织施工，高效的质量管理，在规定时限内完成本项目实施交付，工程一次性交验合格。</w:t>
      </w:r>
    </w:p>
    <w:p w14:paraId="75B7E98D">
      <w:pPr>
        <w:pStyle w:val="4"/>
        <w:numPr>
          <w:ilvl w:val="2"/>
          <w:numId w:val="17"/>
        </w:numPr>
        <w:rPr>
          <w:rFonts w:hint="eastAsia"/>
        </w:rPr>
      </w:pPr>
      <w:bookmarkStart w:id="264" w:name="_Toc9485"/>
      <w:r>
        <w:rPr>
          <w:rFonts w:hint="eastAsia"/>
        </w:rPr>
        <w:t>实施进度计划</w:t>
      </w:r>
      <w:bookmarkEnd w:id="264"/>
    </w:p>
    <w:p w14:paraId="75B7E98E">
      <w:pPr>
        <w:ind w:firstLine="480"/>
        <w:rPr>
          <w:rFonts w:hint="eastAsia"/>
        </w:rPr>
      </w:pPr>
      <w:r>
        <w:rPr>
          <w:rFonts w:hint="eastAsia"/>
        </w:rPr>
        <w:t>综合考虑本项目的实际建设、业务需求、项目管理和项目风险等各种因素， 从项目合同签订后开始计算，项目本期建设周期预计为</w:t>
      </w:r>
      <w:r>
        <w:rPr>
          <w:rFonts w:hint="eastAsia"/>
          <w:lang w:val="en-US" w:eastAsia="zh-CN"/>
        </w:rPr>
        <w:t>5</w:t>
      </w:r>
      <w:r>
        <w:rPr>
          <w:rFonts w:hint="eastAsia"/>
        </w:rPr>
        <w:t>个月。</w:t>
      </w:r>
    </w:p>
    <w:tbl>
      <w:tblPr>
        <w:tblStyle w:val="161"/>
        <w:tblW w:w="8522" w:type="dxa"/>
        <w:jc w:val="center"/>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Layout w:type="autofit"/>
        <w:tblCellMar>
          <w:top w:w="0" w:type="dxa"/>
          <w:left w:w="0" w:type="dxa"/>
          <w:bottom w:w="0" w:type="dxa"/>
          <w:right w:w="0" w:type="dxa"/>
        </w:tblCellMar>
      </w:tblPr>
      <w:tblGrid>
        <w:gridCol w:w="675"/>
        <w:gridCol w:w="4299"/>
        <w:gridCol w:w="1251"/>
        <w:gridCol w:w="1267"/>
        <w:gridCol w:w="1030"/>
      </w:tblGrid>
      <w:tr w14:paraId="75B7E99B">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0" w:hRule="atLeast"/>
          <w:tblHeader/>
          <w:jc w:val="center"/>
        </w:trPr>
        <w:tc>
          <w:tcPr>
            <w:tcW w:w="675" w:type="dxa"/>
            <w:vAlign w:val="center"/>
          </w:tcPr>
          <w:p w14:paraId="75B7E990">
            <w:pPr>
              <w:pStyle w:val="106"/>
              <w:snapToGrid w:val="0"/>
              <w:spacing w:before="71" w:line="240" w:lineRule="auto"/>
              <w:ind w:left="0" w:leftChars="0" w:right="0" w:rightChars="0" w:firstLine="0" w:firstLineChars="0"/>
              <w:jc w:val="center"/>
              <w:rPr>
                <w:rFonts w:hint="eastAsia"/>
                <w:b/>
                <w:spacing w:val="-2"/>
                <w:szCs w:val="24"/>
                <w:lang w:val="en-US"/>
              </w:rPr>
            </w:pPr>
            <w:r>
              <w:rPr>
                <w:rFonts w:hint="eastAsia"/>
                <w:b/>
                <w:spacing w:val="-2"/>
                <w:szCs w:val="24"/>
                <w:lang w:val="en-US"/>
              </w:rPr>
              <w:t>序号</w:t>
            </w:r>
          </w:p>
        </w:tc>
        <w:tc>
          <w:tcPr>
            <w:tcW w:w="4299" w:type="dxa"/>
            <w:vAlign w:val="center"/>
          </w:tcPr>
          <w:p w14:paraId="75B7E992">
            <w:pPr>
              <w:pStyle w:val="106"/>
              <w:snapToGrid w:val="0"/>
              <w:spacing w:before="71" w:line="240" w:lineRule="auto"/>
              <w:ind w:left="0" w:leftChars="0" w:right="0" w:rightChars="0" w:firstLine="0" w:firstLineChars="0"/>
              <w:jc w:val="center"/>
              <w:rPr>
                <w:rFonts w:hint="eastAsia"/>
                <w:b/>
                <w:spacing w:val="-2"/>
                <w:szCs w:val="24"/>
              </w:rPr>
            </w:pPr>
            <w:r>
              <w:rPr>
                <w:b/>
                <w:spacing w:val="-2"/>
                <w:szCs w:val="24"/>
              </w:rPr>
              <w:t>工作内容</w:t>
            </w:r>
          </w:p>
        </w:tc>
        <w:tc>
          <w:tcPr>
            <w:tcW w:w="1251" w:type="dxa"/>
            <w:vAlign w:val="center"/>
          </w:tcPr>
          <w:p w14:paraId="75B7E994">
            <w:pPr>
              <w:pStyle w:val="106"/>
              <w:snapToGrid w:val="0"/>
              <w:spacing w:before="71" w:line="240" w:lineRule="auto"/>
              <w:ind w:left="0" w:leftChars="0" w:right="0" w:rightChars="0" w:firstLine="0" w:firstLineChars="0"/>
              <w:jc w:val="center"/>
              <w:rPr>
                <w:rFonts w:hint="eastAsia"/>
                <w:b/>
                <w:spacing w:val="-2"/>
                <w:szCs w:val="24"/>
              </w:rPr>
            </w:pPr>
            <w:r>
              <w:rPr>
                <w:b/>
                <w:spacing w:val="-2"/>
                <w:szCs w:val="24"/>
              </w:rPr>
              <w:t>第</w:t>
            </w:r>
            <w:r>
              <w:rPr>
                <w:rFonts w:hint="eastAsia"/>
                <w:b/>
                <w:spacing w:val="-2"/>
                <w:szCs w:val="24"/>
                <w:lang w:val="en-US" w:eastAsia="zh-CN"/>
              </w:rPr>
              <w:t>1</w:t>
            </w:r>
            <w:r>
              <w:rPr>
                <w:b/>
                <w:spacing w:val="-2"/>
                <w:szCs w:val="24"/>
              </w:rPr>
              <w:t>个月</w:t>
            </w:r>
          </w:p>
        </w:tc>
        <w:tc>
          <w:tcPr>
            <w:tcW w:w="1267" w:type="dxa"/>
            <w:vAlign w:val="center"/>
          </w:tcPr>
          <w:p w14:paraId="75B7E996">
            <w:pPr>
              <w:pStyle w:val="106"/>
              <w:snapToGrid w:val="0"/>
              <w:spacing w:before="71" w:line="240" w:lineRule="auto"/>
              <w:ind w:left="0" w:leftChars="0" w:right="0" w:rightChars="0" w:firstLine="0" w:firstLineChars="0"/>
              <w:jc w:val="center"/>
              <w:rPr>
                <w:rFonts w:hint="eastAsia"/>
                <w:b/>
                <w:spacing w:val="-2"/>
                <w:szCs w:val="24"/>
              </w:rPr>
            </w:pPr>
            <w:r>
              <w:rPr>
                <w:b/>
                <w:spacing w:val="-2"/>
                <w:szCs w:val="24"/>
              </w:rPr>
              <w:t>第</w:t>
            </w:r>
            <w:r>
              <w:rPr>
                <w:rFonts w:hint="eastAsia"/>
                <w:b/>
                <w:spacing w:val="-2"/>
                <w:szCs w:val="24"/>
                <w:lang w:val="en-US" w:eastAsia="zh-CN"/>
              </w:rPr>
              <w:t>2-4</w:t>
            </w:r>
            <w:r>
              <w:rPr>
                <w:b/>
                <w:spacing w:val="-2"/>
                <w:szCs w:val="24"/>
              </w:rPr>
              <w:t>个月</w:t>
            </w:r>
          </w:p>
        </w:tc>
        <w:tc>
          <w:tcPr>
            <w:tcW w:w="1030" w:type="dxa"/>
            <w:vAlign w:val="center"/>
          </w:tcPr>
          <w:p w14:paraId="75B7E998">
            <w:pPr>
              <w:pStyle w:val="106"/>
              <w:snapToGrid w:val="0"/>
              <w:spacing w:before="71" w:line="240" w:lineRule="auto"/>
              <w:ind w:left="0" w:leftChars="0" w:right="0" w:rightChars="0" w:firstLine="0" w:firstLineChars="0"/>
              <w:jc w:val="center"/>
              <w:rPr>
                <w:rFonts w:hint="eastAsia"/>
                <w:b/>
                <w:spacing w:val="-2"/>
                <w:szCs w:val="24"/>
              </w:rPr>
            </w:pPr>
            <w:r>
              <w:rPr>
                <w:b/>
                <w:spacing w:val="-2"/>
                <w:szCs w:val="24"/>
              </w:rPr>
              <w:t>第</w:t>
            </w:r>
            <w:r>
              <w:rPr>
                <w:rFonts w:hint="eastAsia"/>
                <w:b/>
                <w:spacing w:val="-2"/>
                <w:szCs w:val="24"/>
                <w:lang w:val="en-US" w:eastAsia="zh-CN"/>
              </w:rPr>
              <w:t>5</w:t>
            </w:r>
            <w:r>
              <w:rPr>
                <w:b/>
                <w:spacing w:val="-2"/>
                <w:szCs w:val="24"/>
              </w:rPr>
              <w:t>个月</w:t>
            </w:r>
          </w:p>
        </w:tc>
      </w:tr>
      <w:tr w14:paraId="75B7E9A2">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75" w:type="dxa"/>
            <w:vAlign w:val="center"/>
          </w:tcPr>
          <w:p w14:paraId="75B7E99C">
            <w:pPr>
              <w:pStyle w:val="106"/>
              <w:snapToGrid w:val="0"/>
              <w:spacing w:before="192" w:line="240" w:lineRule="auto"/>
              <w:ind w:left="0" w:leftChars="0" w:right="0" w:rightChars="0" w:firstLine="0" w:firstLineChars="0"/>
              <w:jc w:val="center"/>
              <w:rPr>
                <w:rFonts w:hint="eastAsia" w:ascii="宋体" w:eastAsia="仿宋_GB2312"/>
                <w:sz w:val="24"/>
                <w:szCs w:val="24"/>
                <w:lang w:val="en-US"/>
              </w:rPr>
            </w:pPr>
            <w:r>
              <w:rPr>
                <w:rFonts w:hint="eastAsia" w:ascii="宋体" w:eastAsia="仿宋_GB2312"/>
                <w:sz w:val="24"/>
                <w:szCs w:val="24"/>
                <w:lang w:val="en-US"/>
              </w:rPr>
              <w:t>1</w:t>
            </w:r>
          </w:p>
        </w:tc>
        <w:tc>
          <w:tcPr>
            <w:tcW w:w="4299" w:type="dxa"/>
            <w:vAlign w:val="center"/>
          </w:tcPr>
          <w:p w14:paraId="75B7E99D">
            <w:pPr>
              <w:pStyle w:val="106"/>
              <w:snapToGrid w:val="0"/>
              <w:spacing w:before="192" w:line="240" w:lineRule="auto"/>
              <w:ind w:left="0" w:leftChars="0" w:right="0" w:rightChars="0" w:firstLine="0" w:firstLineChars="0"/>
              <w:jc w:val="center"/>
              <w:rPr>
                <w:rFonts w:hint="eastAsia" w:ascii="宋体" w:eastAsia="仿宋_GB2312"/>
                <w:sz w:val="24"/>
                <w:szCs w:val="24"/>
                <w:lang w:val="en-US"/>
              </w:rPr>
            </w:pPr>
            <w:r>
              <w:rPr>
                <w:rFonts w:ascii="宋体" w:eastAsia="仿宋_GB2312"/>
                <w:spacing w:val="-3"/>
                <w:sz w:val="24"/>
                <w:szCs w:val="24"/>
              </w:rPr>
              <w:t>前期工作</w:t>
            </w:r>
            <w:r>
              <w:rPr>
                <w:rFonts w:hint="eastAsia" w:ascii="宋体" w:eastAsia="仿宋_GB2312"/>
                <w:spacing w:val="-3"/>
                <w:sz w:val="24"/>
                <w:szCs w:val="24"/>
              </w:rPr>
              <w:t>（</w:t>
            </w:r>
            <w:r>
              <w:rPr>
                <w:rFonts w:hint="eastAsia" w:ascii="宋体" w:eastAsia="仿宋_GB2312"/>
                <w:spacing w:val="-3"/>
                <w:sz w:val="24"/>
                <w:szCs w:val="24"/>
                <w:lang w:val="en-US"/>
              </w:rPr>
              <w:t>需求调研、勘察设计）</w:t>
            </w:r>
          </w:p>
        </w:tc>
        <w:tc>
          <w:tcPr>
            <w:tcW w:w="1251" w:type="dxa"/>
            <w:vAlign w:val="center"/>
          </w:tcPr>
          <w:p w14:paraId="75B7E99E">
            <w:pPr>
              <w:snapToGrid w:val="0"/>
              <w:spacing w:before="192" w:line="240" w:lineRule="auto"/>
              <w:ind w:left="0" w:leftChars="0" w:right="0" w:rightChars="0" w:firstLine="0" w:firstLineChars="0"/>
              <w:jc w:val="center"/>
              <w:rPr>
                <w:rFonts w:hint="eastAsia" w:ascii="宋体" w:hAnsi="MS Gothic" w:eastAsia="仿宋_GB2312" w:cs="MS Gothic"/>
                <w:sz w:val="24"/>
                <w:szCs w:val="24"/>
              </w:rPr>
            </w:pPr>
            <w:r>
              <w:rPr>
                <w:rFonts w:ascii="宋体" w:hAnsi="MS Gothic" w:eastAsia="仿宋_GB2312" w:cs="MS Gothic"/>
                <w:sz w:val="24"/>
                <w:szCs w:val="24"/>
              </w:rPr>
              <w:t>✓</w:t>
            </w:r>
          </w:p>
        </w:tc>
        <w:tc>
          <w:tcPr>
            <w:tcW w:w="1267" w:type="dxa"/>
            <w:vAlign w:val="center"/>
          </w:tcPr>
          <w:p w14:paraId="75B7E99F">
            <w:pPr>
              <w:snapToGrid w:val="0"/>
              <w:spacing w:line="240" w:lineRule="auto"/>
              <w:ind w:left="0" w:leftChars="0" w:right="0" w:rightChars="0" w:firstLine="0" w:firstLineChars="0"/>
              <w:jc w:val="center"/>
              <w:rPr>
                <w:rFonts w:hint="eastAsia" w:ascii="宋体" w:eastAsia="仿宋_GB2312"/>
                <w:sz w:val="24"/>
                <w:szCs w:val="24"/>
              </w:rPr>
            </w:pPr>
          </w:p>
        </w:tc>
        <w:tc>
          <w:tcPr>
            <w:tcW w:w="1030" w:type="dxa"/>
            <w:vAlign w:val="center"/>
          </w:tcPr>
          <w:p w14:paraId="75B7E9A0">
            <w:pPr>
              <w:snapToGrid w:val="0"/>
              <w:spacing w:line="240" w:lineRule="auto"/>
              <w:ind w:left="0" w:leftChars="0" w:right="0" w:rightChars="0" w:firstLine="0" w:firstLineChars="0"/>
              <w:jc w:val="center"/>
              <w:rPr>
                <w:rFonts w:hint="eastAsia" w:ascii="宋体" w:eastAsia="仿宋_GB2312"/>
                <w:sz w:val="24"/>
                <w:szCs w:val="24"/>
              </w:rPr>
            </w:pPr>
          </w:p>
        </w:tc>
      </w:tr>
      <w:tr w14:paraId="75B7E9A9">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75" w:type="dxa"/>
            <w:vAlign w:val="center"/>
          </w:tcPr>
          <w:p w14:paraId="75B7E9A3">
            <w:pPr>
              <w:pStyle w:val="106"/>
              <w:snapToGrid w:val="0"/>
              <w:spacing w:before="194" w:line="240" w:lineRule="auto"/>
              <w:ind w:left="0" w:leftChars="0" w:right="0" w:rightChars="0" w:firstLine="0" w:firstLineChars="0"/>
              <w:jc w:val="center"/>
              <w:rPr>
                <w:rFonts w:hint="eastAsia" w:ascii="宋体" w:eastAsia="仿宋_GB2312"/>
                <w:sz w:val="24"/>
                <w:szCs w:val="24"/>
                <w:lang w:val="en-US"/>
              </w:rPr>
            </w:pPr>
            <w:r>
              <w:rPr>
                <w:rFonts w:hint="eastAsia" w:ascii="宋体" w:eastAsia="仿宋_GB2312"/>
                <w:spacing w:val="-2"/>
                <w:sz w:val="24"/>
                <w:szCs w:val="24"/>
                <w:lang w:val="en-US"/>
              </w:rPr>
              <w:t>2</w:t>
            </w:r>
          </w:p>
        </w:tc>
        <w:tc>
          <w:tcPr>
            <w:tcW w:w="4299" w:type="dxa"/>
            <w:vAlign w:val="center"/>
          </w:tcPr>
          <w:p w14:paraId="75B7E9A4">
            <w:pPr>
              <w:pStyle w:val="106"/>
              <w:snapToGrid w:val="0"/>
              <w:spacing w:before="194" w:line="240" w:lineRule="auto"/>
              <w:ind w:left="0" w:leftChars="0" w:right="0" w:rightChars="0" w:firstLine="0" w:firstLineChars="0"/>
              <w:jc w:val="center"/>
              <w:rPr>
                <w:rFonts w:hint="eastAsia" w:ascii="宋体" w:eastAsia="仿宋_GB2312"/>
                <w:sz w:val="24"/>
                <w:szCs w:val="24"/>
                <w:lang w:val="en-US"/>
              </w:rPr>
            </w:pPr>
            <w:r>
              <w:rPr>
                <w:rFonts w:ascii="宋体" w:eastAsia="仿宋_GB2312"/>
                <w:spacing w:val="-2"/>
                <w:sz w:val="24"/>
                <w:szCs w:val="24"/>
              </w:rPr>
              <w:t>预警监测系统建设</w:t>
            </w:r>
            <w:r>
              <w:rPr>
                <w:rFonts w:hint="eastAsia" w:ascii="宋体" w:eastAsia="仿宋_GB2312"/>
                <w:spacing w:val="-2"/>
                <w:sz w:val="24"/>
                <w:szCs w:val="24"/>
              </w:rPr>
              <w:t>（</w:t>
            </w:r>
            <w:r>
              <w:rPr>
                <w:rFonts w:hint="eastAsia" w:ascii="宋体" w:eastAsia="仿宋_GB2312"/>
                <w:spacing w:val="-2"/>
                <w:sz w:val="24"/>
                <w:szCs w:val="24"/>
                <w:lang w:val="en-US"/>
              </w:rPr>
              <w:t>软硬件采购、部署、调试）</w:t>
            </w:r>
          </w:p>
        </w:tc>
        <w:tc>
          <w:tcPr>
            <w:tcW w:w="1251" w:type="dxa"/>
            <w:vAlign w:val="center"/>
          </w:tcPr>
          <w:p w14:paraId="75B7E9A5">
            <w:pPr>
              <w:snapToGrid w:val="0"/>
              <w:spacing w:line="240" w:lineRule="auto"/>
              <w:ind w:left="0" w:leftChars="0" w:right="0" w:rightChars="0" w:firstLine="0" w:firstLineChars="0"/>
              <w:jc w:val="center"/>
              <w:rPr>
                <w:rFonts w:hint="eastAsia" w:ascii="宋体" w:eastAsia="仿宋_GB2312"/>
                <w:sz w:val="24"/>
                <w:szCs w:val="24"/>
              </w:rPr>
            </w:pPr>
          </w:p>
        </w:tc>
        <w:tc>
          <w:tcPr>
            <w:tcW w:w="1267" w:type="dxa"/>
            <w:vAlign w:val="center"/>
          </w:tcPr>
          <w:p w14:paraId="75B7E9A6">
            <w:pPr>
              <w:snapToGrid w:val="0"/>
              <w:spacing w:before="194" w:line="240" w:lineRule="auto"/>
              <w:ind w:left="0" w:leftChars="0" w:right="0" w:rightChars="0" w:firstLine="0" w:firstLineChars="0"/>
              <w:jc w:val="center"/>
              <w:rPr>
                <w:rFonts w:hint="eastAsia" w:ascii="宋体" w:hAnsi="MS Gothic" w:eastAsia="仿宋_GB2312" w:cs="MS Gothic"/>
                <w:sz w:val="24"/>
                <w:szCs w:val="24"/>
              </w:rPr>
            </w:pPr>
            <w:r>
              <w:rPr>
                <w:rFonts w:ascii="宋体" w:hAnsi="MS Gothic" w:eastAsia="仿宋_GB2312" w:cs="MS Gothic"/>
                <w:sz w:val="24"/>
                <w:szCs w:val="24"/>
              </w:rPr>
              <w:t>✓</w:t>
            </w:r>
          </w:p>
        </w:tc>
        <w:tc>
          <w:tcPr>
            <w:tcW w:w="1030" w:type="dxa"/>
            <w:vAlign w:val="center"/>
          </w:tcPr>
          <w:p w14:paraId="75B7E9A7">
            <w:pPr>
              <w:snapToGrid w:val="0"/>
              <w:spacing w:line="240" w:lineRule="auto"/>
              <w:ind w:left="0" w:leftChars="0" w:right="0" w:rightChars="0" w:firstLine="0" w:firstLineChars="0"/>
              <w:jc w:val="center"/>
              <w:rPr>
                <w:rFonts w:hint="eastAsia" w:ascii="宋体" w:eastAsia="仿宋_GB2312"/>
                <w:sz w:val="24"/>
                <w:szCs w:val="24"/>
              </w:rPr>
            </w:pPr>
          </w:p>
        </w:tc>
      </w:tr>
      <w:tr w14:paraId="75B7E9B0">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75" w:type="dxa"/>
            <w:vAlign w:val="center"/>
          </w:tcPr>
          <w:p w14:paraId="75B7E9AA">
            <w:pPr>
              <w:pStyle w:val="106"/>
              <w:snapToGrid w:val="0"/>
              <w:spacing w:before="194" w:line="240" w:lineRule="auto"/>
              <w:ind w:left="0" w:leftChars="0" w:right="0" w:rightChars="0" w:firstLine="0" w:firstLineChars="0"/>
              <w:jc w:val="center"/>
              <w:rPr>
                <w:rFonts w:hint="eastAsia" w:ascii="宋体" w:eastAsia="仿宋_GB2312"/>
                <w:sz w:val="24"/>
                <w:szCs w:val="24"/>
                <w:lang w:val="en-US"/>
              </w:rPr>
            </w:pPr>
            <w:r>
              <w:rPr>
                <w:rFonts w:hint="eastAsia" w:ascii="宋体" w:eastAsia="仿宋_GB2312"/>
                <w:spacing w:val="-1"/>
                <w:sz w:val="24"/>
                <w:szCs w:val="24"/>
                <w:lang w:val="en-US"/>
              </w:rPr>
              <w:t>3</w:t>
            </w:r>
          </w:p>
        </w:tc>
        <w:tc>
          <w:tcPr>
            <w:tcW w:w="4299" w:type="dxa"/>
            <w:vAlign w:val="center"/>
          </w:tcPr>
          <w:p w14:paraId="75B7E9AB">
            <w:pPr>
              <w:pStyle w:val="106"/>
              <w:snapToGrid w:val="0"/>
              <w:spacing w:before="194" w:line="240" w:lineRule="auto"/>
              <w:ind w:left="0" w:leftChars="0" w:right="0" w:rightChars="0" w:firstLine="0" w:firstLineChars="0"/>
              <w:jc w:val="center"/>
              <w:rPr>
                <w:rFonts w:hint="eastAsia" w:ascii="宋体" w:eastAsia="仿宋_GB2312"/>
                <w:sz w:val="24"/>
                <w:szCs w:val="24"/>
                <w:lang w:val="en-US"/>
              </w:rPr>
            </w:pPr>
            <w:r>
              <w:rPr>
                <w:rFonts w:ascii="宋体" w:eastAsia="仿宋_GB2312"/>
                <w:spacing w:val="-1"/>
                <w:sz w:val="24"/>
                <w:szCs w:val="24"/>
              </w:rPr>
              <w:t>森林防火通信系统建设</w:t>
            </w:r>
            <w:r>
              <w:rPr>
                <w:rFonts w:hint="eastAsia" w:ascii="宋体" w:eastAsia="仿宋_GB2312"/>
                <w:spacing w:val="-1"/>
                <w:sz w:val="24"/>
                <w:szCs w:val="24"/>
              </w:rPr>
              <w:t>（</w:t>
            </w:r>
            <w:r>
              <w:rPr>
                <w:rFonts w:hint="eastAsia" w:ascii="宋体" w:eastAsia="仿宋_GB2312"/>
                <w:spacing w:val="-1"/>
                <w:sz w:val="24"/>
                <w:szCs w:val="24"/>
                <w:lang w:val="en-US"/>
              </w:rPr>
              <w:t>软硬件采购、部署、调试）</w:t>
            </w:r>
          </w:p>
        </w:tc>
        <w:tc>
          <w:tcPr>
            <w:tcW w:w="1251" w:type="dxa"/>
            <w:vAlign w:val="center"/>
          </w:tcPr>
          <w:p w14:paraId="75B7E9AC">
            <w:pPr>
              <w:snapToGrid w:val="0"/>
              <w:spacing w:line="240" w:lineRule="auto"/>
              <w:ind w:left="0" w:leftChars="0" w:right="0" w:rightChars="0" w:firstLine="0" w:firstLineChars="0"/>
              <w:jc w:val="center"/>
              <w:rPr>
                <w:rFonts w:hint="eastAsia" w:ascii="宋体" w:eastAsia="仿宋_GB2312"/>
                <w:sz w:val="24"/>
                <w:szCs w:val="24"/>
              </w:rPr>
            </w:pPr>
          </w:p>
        </w:tc>
        <w:tc>
          <w:tcPr>
            <w:tcW w:w="1267" w:type="dxa"/>
            <w:vAlign w:val="center"/>
          </w:tcPr>
          <w:p w14:paraId="75B7E9AD">
            <w:pPr>
              <w:snapToGrid w:val="0"/>
              <w:spacing w:before="193" w:line="240" w:lineRule="auto"/>
              <w:ind w:left="0" w:leftChars="0" w:right="0" w:rightChars="0" w:firstLine="0" w:firstLineChars="0"/>
              <w:jc w:val="center"/>
              <w:rPr>
                <w:rFonts w:hint="eastAsia" w:ascii="宋体" w:hAnsi="MS Gothic" w:eastAsia="仿宋_GB2312" w:cs="MS Gothic"/>
                <w:sz w:val="24"/>
                <w:szCs w:val="24"/>
              </w:rPr>
            </w:pPr>
            <w:r>
              <w:rPr>
                <w:rFonts w:ascii="宋体" w:hAnsi="MS Gothic" w:eastAsia="仿宋_GB2312" w:cs="MS Gothic"/>
                <w:sz w:val="24"/>
                <w:szCs w:val="24"/>
              </w:rPr>
              <w:t>✓</w:t>
            </w:r>
          </w:p>
        </w:tc>
        <w:tc>
          <w:tcPr>
            <w:tcW w:w="1030" w:type="dxa"/>
            <w:vAlign w:val="center"/>
          </w:tcPr>
          <w:p w14:paraId="75B7E9AE">
            <w:pPr>
              <w:snapToGrid w:val="0"/>
              <w:spacing w:line="240" w:lineRule="auto"/>
              <w:ind w:left="0" w:leftChars="0" w:right="0" w:rightChars="0" w:firstLine="0" w:firstLineChars="0"/>
              <w:jc w:val="center"/>
              <w:rPr>
                <w:rFonts w:hint="eastAsia" w:ascii="宋体" w:eastAsia="仿宋_GB2312"/>
                <w:sz w:val="24"/>
                <w:szCs w:val="24"/>
              </w:rPr>
            </w:pPr>
          </w:p>
        </w:tc>
      </w:tr>
      <w:tr w14:paraId="75B7E9B7">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75" w:type="dxa"/>
            <w:vAlign w:val="center"/>
          </w:tcPr>
          <w:p w14:paraId="75B7E9B1">
            <w:pPr>
              <w:pStyle w:val="106"/>
              <w:snapToGrid w:val="0"/>
              <w:spacing w:before="196" w:line="240" w:lineRule="auto"/>
              <w:ind w:left="0" w:leftChars="0" w:right="0" w:rightChars="0" w:firstLine="0" w:firstLineChars="0"/>
              <w:jc w:val="center"/>
              <w:rPr>
                <w:rFonts w:hint="eastAsia" w:ascii="宋体" w:eastAsia="仿宋_GB2312"/>
                <w:sz w:val="24"/>
                <w:szCs w:val="24"/>
                <w:lang w:val="en-US"/>
              </w:rPr>
            </w:pPr>
            <w:r>
              <w:rPr>
                <w:rFonts w:hint="eastAsia" w:ascii="宋体" w:eastAsia="仿宋_GB2312"/>
                <w:spacing w:val="-1"/>
                <w:sz w:val="24"/>
                <w:szCs w:val="24"/>
                <w:lang w:val="en-US"/>
              </w:rPr>
              <w:t>4</w:t>
            </w:r>
          </w:p>
        </w:tc>
        <w:tc>
          <w:tcPr>
            <w:tcW w:w="4299" w:type="dxa"/>
            <w:vAlign w:val="center"/>
          </w:tcPr>
          <w:p w14:paraId="75B7E9B2">
            <w:pPr>
              <w:pStyle w:val="106"/>
              <w:snapToGrid w:val="0"/>
              <w:spacing w:before="196" w:line="240" w:lineRule="auto"/>
              <w:ind w:left="0" w:leftChars="0" w:right="0" w:rightChars="0" w:firstLine="0" w:firstLineChars="0"/>
              <w:jc w:val="center"/>
              <w:rPr>
                <w:rFonts w:hint="eastAsia" w:ascii="宋体" w:eastAsia="仿宋_GB2312"/>
                <w:sz w:val="24"/>
                <w:szCs w:val="24"/>
                <w:lang w:val="en-US"/>
              </w:rPr>
            </w:pPr>
            <w:r>
              <w:rPr>
                <w:rFonts w:ascii="宋体" w:eastAsia="仿宋_GB2312"/>
                <w:spacing w:val="-1"/>
                <w:sz w:val="24"/>
                <w:szCs w:val="24"/>
              </w:rPr>
              <w:t>森林消防队伍能力建设</w:t>
            </w:r>
            <w:r>
              <w:rPr>
                <w:rFonts w:hint="eastAsia" w:ascii="宋体" w:eastAsia="仿宋_GB2312"/>
                <w:spacing w:val="-1"/>
                <w:sz w:val="24"/>
                <w:szCs w:val="24"/>
              </w:rPr>
              <w:t>（</w:t>
            </w:r>
            <w:r>
              <w:rPr>
                <w:rFonts w:hint="eastAsia" w:ascii="宋体" w:eastAsia="仿宋_GB2312"/>
                <w:spacing w:val="-1"/>
                <w:sz w:val="24"/>
                <w:szCs w:val="24"/>
                <w:lang w:val="en-US"/>
              </w:rPr>
              <w:t>软硬件采购、部署、调试）</w:t>
            </w:r>
          </w:p>
        </w:tc>
        <w:tc>
          <w:tcPr>
            <w:tcW w:w="1251" w:type="dxa"/>
            <w:vAlign w:val="center"/>
          </w:tcPr>
          <w:p w14:paraId="75B7E9B3">
            <w:pPr>
              <w:snapToGrid w:val="0"/>
              <w:spacing w:line="240" w:lineRule="auto"/>
              <w:ind w:left="0" w:leftChars="0" w:right="0" w:rightChars="0" w:firstLine="0" w:firstLineChars="0"/>
              <w:jc w:val="center"/>
              <w:rPr>
                <w:rFonts w:hint="eastAsia" w:ascii="宋体" w:eastAsia="仿宋_GB2312"/>
                <w:sz w:val="24"/>
                <w:szCs w:val="24"/>
              </w:rPr>
            </w:pPr>
          </w:p>
        </w:tc>
        <w:tc>
          <w:tcPr>
            <w:tcW w:w="1267" w:type="dxa"/>
            <w:vAlign w:val="center"/>
          </w:tcPr>
          <w:p w14:paraId="75B7E9B4">
            <w:pPr>
              <w:snapToGrid w:val="0"/>
              <w:spacing w:before="195" w:line="240" w:lineRule="auto"/>
              <w:ind w:left="0" w:leftChars="0" w:right="0" w:rightChars="0" w:firstLine="0" w:firstLineChars="0"/>
              <w:jc w:val="center"/>
              <w:rPr>
                <w:rFonts w:hint="eastAsia" w:ascii="宋体" w:hAnsi="MS Gothic" w:eastAsia="仿宋_GB2312" w:cs="MS Gothic"/>
                <w:sz w:val="24"/>
                <w:szCs w:val="24"/>
              </w:rPr>
            </w:pPr>
            <w:r>
              <w:rPr>
                <w:rFonts w:ascii="宋体" w:hAnsi="MS Gothic" w:eastAsia="仿宋_GB2312" w:cs="MS Gothic"/>
                <w:sz w:val="24"/>
                <w:szCs w:val="24"/>
              </w:rPr>
              <w:t>✓</w:t>
            </w:r>
          </w:p>
        </w:tc>
        <w:tc>
          <w:tcPr>
            <w:tcW w:w="1030" w:type="dxa"/>
            <w:vAlign w:val="center"/>
          </w:tcPr>
          <w:p w14:paraId="75B7E9B5">
            <w:pPr>
              <w:snapToGrid w:val="0"/>
              <w:spacing w:line="240" w:lineRule="auto"/>
              <w:ind w:left="0" w:leftChars="0" w:right="0" w:rightChars="0" w:firstLine="0" w:firstLineChars="0"/>
              <w:jc w:val="center"/>
              <w:rPr>
                <w:rFonts w:hint="eastAsia" w:ascii="宋体" w:eastAsia="仿宋_GB2312"/>
                <w:sz w:val="24"/>
                <w:szCs w:val="24"/>
              </w:rPr>
            </w:pPr>
          </w:p>
        </w:tc>
      </w:tr>
      <w:tr w14:paraId="75B7E9BE">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75" w:type="dxa"/>
            <w:vAlign w:val="center"/>
          </w:tcPr>
          <w:p w14:paraId="75B7E9B8">
            <w:pPr>
              <w:pStyle w:val="106"/>
              <w:snapToGrid w:val="0"/>
              <w:spacing w:before="195" w:line="240" w:lineRule="auto"/>
              <w:ind w:left="0" w:leftChars="0" w:right="0" w:rightChars="0" w:firstLine="0" w:firstLineChars="0"/>
              <w:jc w:val="center"/>
              <w:rPr>
                <w:rFonts w:hint="eastAsia" w:ascii="宋体" w:eastAsia="仿宋_GB2312"/>
                <w:sz w:val="24"/>
                <w:szCs w:val="24"/>
                <w:lang w:val="en-US"/>
              </w:rPr>
            </w:pPr>
            <w:r>
              <w:rPr>
                <w:rFonts w:hint="eastAsia" w:ascii="宋体" w:eastAsia="仿宋_GB2312"/>
                <w:spacing w:val="-4"/>
                <w:sz w:val="24"/>
                <w:szCs w:val="24"/>
                <w:lang w:val="en-US"/>
              </w:rPr>
              <w:t>5</w:t>
            </w:r>
          </w:p>
        </w:tc>
        <w:tc>
          <w:tcPr>
            <w:tcW w:w="4299" w:type="dxa"/>
            <w:vAlign w:val="center"/>
          </w:tcPr>
          <w:p w14:paraId="75B7E9B9">
            <w:pPr>
              <w:pStyle w:val="106"/>
              <w:snapToGrid w:val="0"/>
              <w:spacing w:before="195" w:line="240" w:lineRule="auto"/>
              <w:ind w:left="0" w:leftChars="0" w:right="0" w:rightChars="0" w:firstLine="0" w:firstLineChars="0"/>
              <w:jc w:val="center"/>
              <w:rPr>
                <w:rFonts w:hint="eastAsia" w:ascii="宋体" w:eastAsia="仿宋_GB2312"/>
                <w:sz w:val="24"/>
                <w:szCs w:val="24"/>
                <w:lang w:val="en-US"/>
              </w:rPr>
            </w:pPr>
            <w:r>
              <w:rPr>
                <w:rFonts w:hint="eastAsia" w:ascii="宋体" w:eastAsia="仿宋_GB2312"/>
                <w:spacing w:val="-4"/>
                <w:sz w:val="24"/>
                <w:szCs w:val="24"/>
                <w:lang w:val="en-US"/>
              </w:rPr>
              <w:t>系统联调，试运行</w:t>
            </w:r>
          </w:p>
        </w:tc>
        <w:tc>
          <w:tcPr>
            <w:tcW w:w="1251" w:type="dxa"/>
            <w:vAlign w:val="center"/>
          </w:tcPr>
          <w:p w14:paraId="75B7E9BA">
            <w:pPr>
              <w:snapToGrid w:val="0"/>
              <w:spacing w:line="240" w:lineRule="auto"/>
              <w:ind w:left="0" w:leftChars="0" w:right="0" w:rightChars="0" w:firstLine="0" w:firstLineChars="0"/>
              <w:jc w:val="center"/>
              <w:rPr>
                <w:rFonts w:hint="eastAsia" w:ascii="宋体" w:eastAsia="仿宋_GB2312"/>
                <w:sz w:val="24"/>
                <w:szCs w:val="24"/>
              </w:rPr>
            </w:pPr>
          </w:p>
        </w:tc>
        <w:tc>
          <w:tcPr>
            <w:tcW w:w="1267" w:type="dxa"/>
            <w:vAlign w:val="center"/>
          </w:tcPr>
          <w:p w14:paraId="75B7E9BB">
            <w:pPr>
              <w:snapToGrid w:val="0"/>
              <w:spacing w:line="240" w:lineRule="auto"/>
              <w:ind w:left="0" w:leftChars="0" w:right="0" w:rightChars="0" w:firstLine="0" w:firstLineChars="0"/>
              <w:jc w:val="center"/>
              <w:rPr>
                <w:rFonts w:hint="eastAsia" w:ascii="宋体" w:eastAsia="仿宋_GB2312"/>
                <w:sz w:val="24"/>
                <w:szCs w:val="24"/>
              </w:rPr>
            </w:pPr>
          </w:p>
        </w:tc>
        <w:tc>
          <w:tcPr>
            <w:tcW w:w="1030" w:type="dxa"/>
            <w:vAlign w:val="center"/>
          </w:tcPr>
          <w:p w14:paraId="75B7E9BC">
            <w:pPr>
              <w:snapToGrid w:val="0"/>
              <w:spacing w:before="195" w:line="240" w:lineRule="auto"/>
              <w:ind w:left="0" w:leftChars="0" w:right="0" w:rightChars="0" w:firstLine="0" w:firstLineChars="0"/>
              <w:jc w:val="center"/>
              <w:rPr>
                <w:rFonts w:hint="eastAsia" w:ascii="宋体" w:hAnsi="MS Gothic" w:eastAsia="仿宋_GB2312" w:cs="MS Gothic"/>
                <w:sz w:val="24"/>
                <w:szCs w:val="24"/>
              </w:rPr>
            </w:pPr>
            <w:r>
              <w:rPr>
                <w:rFonts w:ascii="宋体" w:hAnsi="MS Gothic" w:eastAsia="仿宋_GB2312" w:cs="MS Gothic"/>
                <w:sz w:val="24"/>
                <w:szCs w:val="24"/>
              </w:rPr>
              <w:t>✓</w:t>
            </w:r>
          </w:p>
        </w:tc>
      </w:tr>
      <w:tr w14:paraId="75B7E9C5">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675" w:type="dxa"/>
            <w:vAlign w:val="center"/>
          </w:tcPr>
          <w:p w14:paraId="75B7E9BF">
            <w:pPr>
              <w:pStyle w:val="106"/>
              <w:snapToGrid w:val="0"/>
              <w:spacing w:before="195" w:line="240" w:lineRule="auto"/>
              <w:ind w:left="0" w:leftChars="0" w:right="0" w:rightChars="0" w:firstLine="0" w:firstLineChars="0"/>
              <w:jc w:val="center"/>
              <w:rPr>
                <w:rFonts w:hint="eastAsia" w:ascii="宋体" w:eastAsia="仿宋_GB2312"/>
                <w:sz w:val="24"/>
                <w:szCs w:val="24"/>
                <w:lang w:val="en-US"/>
              </w:rPr>
            </w:pPr>
            <w:r>
              <w:rPr>
                <w:rFonts w:hint="eastAsia" w:ascii="宋体" w:eastAsia="仿宋_GB2312"/>
                <w:spacing w:val="-2"/>
                <w:sz w:val="24"/>
                <w:szCs w:val="24"/>
                <w:lang w:val="en-US"/>
              </w:rPr>
              <w:t>6</w:t>
            </w:r>
          </w:p>
        </w:tc>
        <w:tc>
          <w:tcPr>
            <w:tcW w:w="4299" w:type="dxa"/>
            <w:vAlign w:val="center"/>
          </w:tcPr>
          <w:p w14:paraId="75B7E9C0">
            <w:pPr>
              <w:pStyle w:val="106"/>
              <w:snapToGrid w:val="0"/>
              <w:spacing w:before="195" w:line="240" w:lineRule="auto"/>
              <w:ind w:left="0" w:leftChars="0" w:right="0" w:rightChars="0" w:firstLine="0" w:firstLineChars="0"/>
              <w:jc w:val="center"/>
              <w:rPr>
                <w:rFonts w:hint="eastAsia" w:ascii="宋体" w:eastAsia="仿宋_GB2312"/>
                <w:sz w:val="24"/>
                <w:szCs w:val="24"/>
              </w:rPr>
            </w:pPr>
            <w:r>
              <w:rPr>
                <w:rFonts w:ascii="宋体" w:eastAsia="仿宋_GB2312"/>
                <w:spacing w:val="-2"/>
                <w:sz w:val="24"/>
                <w:szCs w:val="24"/>
              </w:rPr>
              <w:t>项目竣工验收</w:t>
            </w:r>
          </w:p>
        </w:tc>
        <w:tc>
          <w:tcPr>
            <w:tcW w:w="1251" w:type="dxa"/>
            <w:vAlign w:val="center"/>
          </w:tcPr>
          <w:p w14:paraId="75B7E9C1">
            <w:pPr>
              <w:snapToGrid w:val="0"/>
              <w:spacing w:line="240" w:lineRule="auto"/>
              <w:ind w:left="0" w:leftChars="0" w:right="0" w:rightChars="0" w:firstLine="0" w:firstLineChars="0"/>
              <w:jc w:val="left"/>
              <w:rPr>
                <w:rFonts w:hint="eastAsia" w:ascii="宋体" w:eastAsia="仿宋_GB2312"/>
                <w:sz w:val="24"/>
                <w:szCs w:val="24"/>
              </w:rPr>
            </w:pPr>
          </w:p>
        </w:tc>
        <w:tc>
          <w:tcPr>
            <w:tcW w:w="1267" w:type="dxa"/>
            <w:vAlign w:val="center"/>
          </w:tcPr>
          <w:p w14:paraId="75B7E9C2">
            <w:pPr>
              <w:snapToGrid w:val="0"/>
              <w:spacing w:line="240" w:lineRule="auto"/>
              <w:ind w:left="0" w:leftChars="0" w:right="0" w:rightChars="0" w:firstLine="0" w:firstLineChars="0"/>
              <w:jc w:val="center"/>
              <w:rPr>
                <w:rFonts w:hint="eastAsia" w:ascii="宋体" w:eastAsia="仿宋_GB2312"/>
                <w:sz w:val="24"/>
                <w:szCs w:val="24"/>
              </w:rPr>
            </w:pPr>
          </w:p>
        </w:tc>
        <w:tc>
          <w:tcPr>
            <w:tcW w:w="1030" w:type="dxa"/>
            <w:vAlign w:val="center"/>
          </w:tcPr>
          <w:p w14:paraId="75B7E9C3">
            <w:pPr>
              <w:snapToGrid w:val="0"/>
              <w:spacing w:before="194" w:line="240" w:lineRule="auto"/>
              <w:ind w:left="0" w:leftChars="0" w:right="0" w:rightChars="0" w:firstLine="0" w:firstLineChars="0"/>
              <w:jc w:val="center"/>
              <w:rPr>
                <w:rFonts w:hint="eastAsia" w:ascii="宋体" w:hAnsi="MS Gothic" w:eastAsia="仿宋_GB2312" w:cs="MS Gothic"/>
                <w:sz w:val="24"/>
                <w:szCs w:val="24"/>
              </w:rPr>
            </w:pPr>
            <w:r>
              <w:rPr>
                <w:rFonts w:ascii="宋体" w:hAnsi="MS Gothic" w:eastAsia="仿宋_GB2312" w:cs="MS Gothic"/>
                <w:sz w:val="24"/>
                <w:szCs w:val="24"/>
              </w:rPr>
              <w:t>✓</w:t>
            </w:r>
          </w:p>
        </w:tc>
      </w:tr>
    </w:tbl>
    <w:p w14:paraId="75B7E9C6">
      <w:pPr>
        <w:ind w:firstLine="480"/>
        <w:rPr>
          <w:rFonts w:hint="eastAsia"/>
        </w:rPr>
      </w:pPr>
    </w:p>
    <w:p w14:paraId="75B7E9C7">
      <w:pPr>
        <w:pStyle w:val="3"/>
        <w:numPr>
          <w:ilvl w:val="1"/>
          <w:numId w:val="17"/>
        </w:numPr>
        <w:rPr>
          <w:lang w:val="en-US"/>
        </w:rPr>
      </w:pPr>
      <w:bookmarkStart w:id="265" w:name="_Toc16382"/>
      <w:r>
        <w:rPr>
          <w:rFonts w:hint="eastAsia"/>
          <w:lang w:val="en-US"/>
        </w:rPr>
        <w:t>人员培训需求和计划</w:t>
      </w:r>
      <w:bookmarkEnd w:id="265"/>
    </w:p>
    <w:p w14:paraId="75B7E9C8">
      <w:pPr>
        <w:pStyle w:val="4"/>
        <w:numPr>
          <w:ilvl w:val="2"/>
          <w:numId w:val="17"/>
        </w:numPr>
        <w:rPr>
          <w:rFonts w:hint="eastAsia"/>
        </w:rPr>
      </w:pPr>
      <w:bookmarkStart w:id="266" w:name="_Toc23581"/>
      <w:r>
        <w:t>培训目的</w:t>
      </w:r>
      <w:bookmarkEnd w:id="266"/>
    </w:p>
    <w:p w14:paraId="75B7E9C9">
      <w:pPr>
        <w:ind w:firstLine="480"/>
        <w:rPr>
          <w:rFonts w:hint="eastAsia"/>
        </w:rPr>
      </w:pPr>
      <w:r>
        <w:rPr>
          <w:rFonts w:hint="eastAsia"/>
        </w:rPr>
        <w:t>系统培训的目的是使各用户、维护单位尽快掌握软件系统的操作使用、软件配置、规范流程、故障排除、日常维护，系统移交后的合理使用、维护和正常运转。减少系统故障率，提高系统运行效率，保障系统及数据的可靠运行。</w:t>
      </w:r>
    </w:p>
    <w:p w14:paraId="75B7E9CA">
      <w:pPr>
        <w:pStyle w:val="4"/>
        <w:numPr>
          <w:ilvl w:val="2"/>
          <w:numId w:val="17"/>
        </w:numPr>
        <w:rPr>
          <w:rFonts w:hint="eastAsia"/>
        </w:rPr>
      </w:pPr>
      <w:bookmarkStart w:id="267" w:name="_Toc281"/>
      <w:r>
        <w:t>培训对象</w:t>
      </w:r>
      <w:bookmarkEnd w:id="267"/>
    </w:p>
    <w:p w14:paraId="75B7E9CB">
      <w:pPr>
        <w:ind w:firstLine="480"/>
        <w:rPr>
          <w:rFonts w:hint="eastAsia"/>
        </w:rPr>
      </w:pPr>
      <w:r>
        <w:rPr>
          <w:rFonts w:hint="eastAsia"/>
        </w:rPr>
        <w:t>培训对象主要是本系统的业务人员、技术人员和管理人员。由于系统涉及多个应用层次和业务领域的相关人员，因此需要划分层次和领域，根据其业务需要和自身素质，安排合适的培训内容。</w:t>
      </w:r>
    </w:p>
    <w:p w14:paraId="75B7E9CC">
      <w:pPr>
        <w:ind w:firstLine="480"/>
        <w:rPr>
          <w:rFonts w:hint="eastAsia"/>
        </w:rPr>
      </w:pPr>
      <w:r>
        <w:rPr>
          <w:rFonts w:hint="eastAsia"/>
        </w:rPr>
        <w:t>技术人员应具备一定的网络、硬件设备、WINDOWS NT、UNIX操作系统、数据库等相关的知识和管理经验。管理人员培训分专业进行，具体分为系统维护及日常管理方面的培训。</w:t>
      </w:r>
    </w:p>
    <w:p w14:paraId="75B7E9CD">
      <w:pPr>
        <w:ind w:firstLine="480"/>
        <w:rPr>
          <w:rFonts w:hint="eastAsia"/>
        </w:rPr>
      </w:pPr>
      <w:r>
        <w:rPr>
          <w:rFonts w:hint="eastAsia"/>
        </w:rPr>
        <w:t>业务人员的培训主要是各相关部门的业务应用人员。应用软件培训以对骨干业务人员的培训为主，用户抽取有业务经验的骨干人员由专职培训人员进行培训。</w:t>
      </w:r>
    </w:p>
    <w:p w14:paraId="7A8ABBE1">
      <w:pPr>
        <w:pStyle w:val="4"/>
        <w:numPr>
          <w:ilvl w:val="2"/>
          <w:numId w:val="17"/>
        </w:numPr>
        <w:rPr>
          <w:rFonts w:hint="default"/>
          <w:highlight w:val="none"/>
          <w:lang w:val="en-US" w:eastAsia="zh-CN"/>
        </w:rPr>
      </w:pPr>
      <w:bookmarkStart w:id="268" w:name="_Toc9609"/>
      <w:r>
        <w:rPr>
          <w:rFonts w:hint="eastAsia"/>
          <w:highlight w:val="none"/>
          <w:lang w:val="en-US" w:eastAsia="zh-CN"/>
        </w:rPr>
        <w:t>培训内容</w:t>
      </w:r>
      <w:bookmarkEnd w:id="268"/>
    </w:p>
    <w:p w14:paraId="06B0638E">
      <w:pPr>
        <w:numPr>
          <w:ilvl w:val="0"/>
          <w:numId w:val="18"/>
        </w:numPr>
        <w:ind w:firstLine="480"/>
        <w:rPr>
          <w:rFonts w:hint="eastAsia"/>
          <w:highlight w:val="none"/>
          <w:lang w:val="en-US" w:eastAsia="zh-CN"/>
        </w:rPr>
      </w:pPr>
      <w:r>
        <w:rPr>
          <w:rFonts w:hint="eastAsia"/>
          <w:highlight w:val="none"/>
          <w:lang w:val="en-US" w:eastAsia="zh-CN"/>
        </w:rPr>
        <w:t>30名多旋翼无人机驾驶员培训</w:t>
      </w:r>
    </w:p>
    <w:p w14:paraId="484F6328">
      <w:pPr>
        <w:ind w:firstLine="480"/>
        <w:rPr>
          <w:rFonts w:hint="default"/>
          <w:highlight w:val="none"/>
          <w:lang w:val="en-US" w:eastAsia="zh-CN"/>
        </w:rPr>
      </w:pPr>
      <w:r>
        <w:rPr>
          <w:rFonts w:hint="default"/>
          <w:highlight w:val="none"/>
          <w:lang w:val="en-US" w:eastAsia="zh-CN"/>
        </w:rPr>
        <w:t>理论学习：相关民航无人机法规、无人机概述、系统组成及介绍、飞行原理与飞行性能、气象、空域与起降场、多旋翼无人机原理构造气动布局、无人机驾驶员飞行手册、空域申请与空管通讯、系统检查程序、正常飞行程序指挥、应急飞行程序指挥、任务执行指挥等。</w:t>
      </w:r>
    </w:p>
    <w:p w14:paraId="2EC3CEFC">
      <w:pPr>
        <w:ind w:firstLine="480"/>
        <w:rPr>
          <w:rFonts w:hint="default"/>
          <w:highlight w:val="none"/>
          <w:lang w:val="en-US" w:eastAsia="zh-CN"/>
        </w:rPr>
      </w:pPr>
      <w:r>
        <w:rPr>
          <w:rFonts w:hint="default"/>
          <w:highlight w:val="none"/>
          <w:lang w:val="en-US" w:eastAsia="zh-CN"/>
        </w:rPr>
        <w:t>实践飞行：无人机模拟器训练、地面站设置与飞行前准备、无人飞行器的保养、充电设备和电池的使用、无人机系统安全运行管理、应急处置练习。</w:t>
      </w:r>
    </w:p>
    <w:p w14:paraId="75C4E5DE">
      <w:pPr>
        <w:ind w:firstLine="480"/>
        <w:rPr>
          <w:rFonts w:hint="eastAsia"/>
          <w:highlight w:val="none"/>
          <w:lang w:val="en-US" w:eastAsia="zh-CN"/>
        </w:rPr>
      </w:pPr>
      <w:r>
        <w:rPr>
          <w:rFonts w:hint="eastAsia"/>
          <w:highlight w:val="none"/>
          <w:lang w:val="en-US" w:eastAsia="zh-CN"/>
        </w:rPr>
        <w:t>此外，培训还注重实操考核与能力认证相结合，通过模拟突发天气、通信中断、动力失效等典型特情，检验学员应急处置的规范性与熟练度；所有参训人员须完成理论考试、模拟飞行评估及实地起降操作三项考核，合格者方可取得民航局认可的多旋翼无人机驾驶员合格证。</w:t>
      </w:r>
    </w:p>
    <w:p w14:paraId="007FD683">
      <w:pPr>
        <w:numPr>
          <w:ilvl w:val="0"/>
          <w:numId w:val="18"/>
        </w:numPr>
        <w:ind w:firstLine="480"/>
        <w:rPr>
          <w:rFonts w:hint="eastAsia"/>
          <w:highlight w:val="none"/>
          <w:lang w:val="en-US" w:eastAsia="zh-CN"/>
        </w:rPr>
      </w:pPr>
      <w:r>
        <w:rPr>
          <w:rFonts w:hint="eastAsia"/>
          <w:highlight w:val="none"/>
          <w:lang w:val="en-US" w:eastAsia="zh-CN"/>
        </w:rPr>
        <w:t>安全施工知识及注意事项</w:t>
      </w:r>
    </w:p>
    <w:p w14:paraId="4252B41B">
      <w:pPr>
        <w:ind w:firstLine="480"/>
        <w:rPr>
          <w:rFonts w:hint="eastAsia"/>
          <w:highlight w:val="none"/>
          <w:lang w:val="en-US" w:eastAsia="zh-CN"/>
        </w:rPr>
      </w:pPr>
      <w:r>
        <w:rPr>
          <w:rFonts w:hint="eastAsia"/>
          <w:highlight w:val="none"/>
          <w:lang w:val="en-US" w:eastAsia="zh-CN"/>
        </w:rPr>
        <w:t>设备安装安全：详细说明主机设备、安全设备、储存设备、摄像头、无人机机巢等设备安装的安全操作规程，包括高处作业、起重作业的安全要点。讲解电气设备的正确使用和维护方法，预防触电事故。</w:t>
      </w:r>
    </w:p>
    <w:p w14:paraId="0EBD08B5">
      <w:pPr>
        <w:ind w:firstLine="480"/>
        <w:rPr>
          <w:rFonts w:hint="eastAsia"/>
          <w:highlight w:val="none"/>
          <w:lang w:val="en-US" w:eastAsia="zh-CN"/>
        </w:rPr>
      </w:pPr>
      <w:r>
        <w:rPr>
          <w:rFonts w:hint="eastAsia"/>
          <w:highlight w:val="none"/>
          <w:lang w:val="en-US" w:eastAsia="zh-CN"/>
        </w:rPr>
        <w:t>消防安全：介绍施工现场的火灾风险点，如易燃材料存放、动火作业区域等。教授灭火器材的正确使用方法，组织消防演练，提升人员应急处置能力。</w:t>
      </w:r>
    </w:p>
    <w:p w14:paraId="7BB55AEF">
      <w:pPr>
        <w:ind w:firstLine="480"/>
        <w:rPr>
          <w:rFonts w:hint="eastAsia"/>
          <w:highlight w:val="none"/>
          <w:lang w:val="en-US" w:eastAsia="zh-CN"/>
        </w:rPr>
      </w:pPr>
      <w:r>
        <w:rPr>
          <w:rFonts w:hint="eastAsia"/>
          <w:highlight w:val="none"/>
          <w:lang w:val="en-US" w:eastAsia="zh-CN"/>
        </w:rPr>
        <w:t>应急处理：针对可能发生的安全事故，如高处坠落、触电、火灾等，传授现场急救知识和应急处置流程。讲解如何正确拨打急救电话，以及在等待救援过程中的应对措施。</w:t>
      </w:r>
    </w:p>
    <w:p w14:paraId="68EC9E31">
      <w:pPr>
        <w:numPr>
          <w:ilvl w:val="0"/>
          <w:numId w:val="18"/>
        </w:numPr>
        <w:ind w:firstLine="480"/>
        <w:rPr>
          <w:rFonts w:hint="default"/>
          <w:highlight w:val="none"/>
          <w:lang w:val="en-US" w:eastAsia="zh-CN"/>
        </w:rPr>
      </w:pPr>
      <w:r>
        <w:rPr>
          <w:rFonts w:hint="eastAsia"/>
          <w:highlight w:val="none"/>
          <w:lang w:val="en-US" w:eastAsia="zh-CN"/>
        </w:rPr>
        <w:t>系统平台使用培训</w:t>
      </w:r>
    </w:p>
    <w:p w14:paraId="06FF9274">
      <w:pPr>
        <w:ind w:firstLine="480"/>
        <w:rPr>
          <w:rFonts w:hint="default"/>
          <w:highlight w:val="none"/>
          <w:lang w:val="en-US" w:eastAsia="zh-CN"/>
        </w:rPr>
      </w:pPr>
      <w:r>
        <w:rPr>
          <w:rFonts w:hint="eastAsia"/>
          <w:highlight w:val="none"/>
          <w:lang w:val="en-US" w:eastAsia="zh-CN"/>
        </w:rPr>
        <w:t>针对系统平台软件，详细讲解演示平台各个功能模块，细讲解系统平台的主要界面布局、菜单结构，以及常用功能的操作流程等。详细演示事件预警-处置-调度-核实全业务流程。</w:t>
      </w:r>
    </w:p>
    <w:p w14:paraId="75B7E9CE">
      <w:pPr>
        <w:pStyle w:val="4"/>
        <w:numPr>
          <w:ilvl w:val="2"/>
          <w:numId w:val="17"/>
        </w:numPr>
        <w:rPr>
          <w:rFonts w:hint="eastAsia"/>
        </w:rPr>
      </w:pPr>
      <w:bookmarkStart w:id="269" w:name="_Toc16316"/>
      <w:r>
        <w:t>培训</w:t>
      </w:r>
      <w:r>
        <w:rPr>
          <w:rFonts w:hint="eastAsia"/>
        </w:rPr>
        <w:t>方式</w:t>
      </w:r>
      <w:bookmarkEnd w:id="269"/>
    </w:p>
    <w:p w14:paraId="75B7E9CF">
      <w:pPr>
        <w:ind w:firstLine="480"/>
        <w:rPr>
          <w:rFonts w:hint="eastAsia"/>
        </w:rPr>
      </w:pPr>
      <w:r>
        <w:rPr>
          <w:rFonts w:hint="eastAsia"/>
        </w:rPr>
        <w:t>培训分为理论知识培训和实践技能培训两个方面。</w:t>
      </w:r>
    </w:p>
    <w:p w14:paraId="75B7E9D0">
      <w:pPr>
        <w:ind w:firstLine="480"/>
        <w:rPr>
          <w:rFonts w:hint="eastAsia"/>
        </w:rPr>
      </w:pPr>
      <w:r>
        <w:rPr>
          <w:rFonts w:hint="eastAsia"/>
        </w:rPr>
        <w:t>培训以集中培训为主，在固定时间段、固定地点、分批次培训。</w:t>
      </w:r>
    </w:p>
    <w:p w14:paraId="75B7E9D1">
      <w:pPr>
        <w:ind w:firstLine="480"/>
        <w:rPr>
          <w:rFonts w:hint="eastAsia"/>
        </w:rPr>
      </w:pPr>
      <w:r>
        <w:rPr>
          <w:rFonts w:hint="eastAsia"/>
        </w:rPr>
        <w:t>除了集中培训之外，也可以将培训内容制作成视频文件或多媒体课件，由操作员在网上在线学习或下载后离线自学。</w:t>
      </w:r>
    </w:p>
    <w:p w14:paraId="75B7E9D2">
      <w:pPr>
        <w:ind w:firstLine="480"/>
        <w:rPr>
          <w:rFonts w:hint="eastAsia"/>
        </w:rPr>
      </w:pPr>
      <w:r>
        <w:rPr>
          <w:rFonts w:hint="eastAsia"/>
        </w:rPr>
        <w:t>部分不能参加现场培训的人员，可以通过远程视频会议方式参加培训。</w:t>
      </w:r>
    </w:p>
    <w:p w14:paraId="75B7E9D3">
      <w:pPr>
        <w:ind w:firstLine="480"/>
        <w:rPr>
          <w:rFonts w:hint="eastAsia"/>
        </w:rPr>
      </w:pPr>
      <w:r>
        <w:rPr>
          <w:rFonts w:hint="eastAsia"/>
        </w:rPr>
        <w:t>现场讲解配有幻灯片投影放映，充分运用多媒体手段促进教学质量。</w:t>
      </w:r>
    </w:p>
    <w:p w14:paraId="75B7E9D4">
      <w:pPr>
        <w:ind w:firstLine="480"/>
        <w:rPr>
          <w:rFonts w:hint="eastAsia"/>
        </w:rPr>
      </w:pPr>
      <w:r>
        <w:rPr>
          <w:rFonts w:hint="eastAsia"/>
        </w:rPr>
        <w:t>搭建一定规模的模拟演练环境，用于实践技能培训。</w:t>
      </w:r>
    </w:p>
    <w:p w14:paraId="75B7E9D5">
      <w:pPr>
        <w:pStyle w:val="4"/>
        <w:numPr>
          <w:ilvl w:val="2"/>
          <w:numId w:val="17"/>
        </w:numPr>
        <w:rPr>
          <w:rFonts w:hint="eastAsia"/>
        </w:rPr>
      </w:pPr>
      <w:bookmarkStart w:id="270" w:name="_Toc21901"/>
      <w:r>
        <w:t>培训计划安排</w:t>
      </w:r>
      <w:bookmarkEnd w:id="270"/>
    </w:p>
    <w:p w14:paraId="49929082">
      <w:pPr>
        <w:ind w:firstLine="480"/>
        <w:rPr>
          <w:rFonts w:hint="eastAsia"/>
          <w:highlight w:val="none"/>
          <w:lang w:val="en-US" w:eastAsia="zh-CN"/>
        </w:rPr>
      </w:pPr>
      <w:r>
        <w:rPr>
          <w:rFonts w:hint="eastAsia"/>
          <w:highlight w:val="none"/>
          <w:lang w:val="en-US" w:eastAsia="zh-CN"/>
        </w:rPr>
        <w:t>无人机驾驶证培训</w:t>
      </w:r>
    </w:p>
    <w:tbl>
      <w:tblPr>
        <w:tblStyle w:val="3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6"/>
        <w:gridCol w:w="2556"/>
        <w:gridCol w:w="1848"/>
        <w:gridCol w:w="3146"/>
      </w:tblGrid>
      <w:tr w14:paraId="59BDC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tcPr>
          <w:p w14:paraId="56F2536C">
            <w:pPr>
              <w:ind w:left="0" w:leftChars="0" w:firstLine="0" w:firstLineChars="0"/>
              <w:jc w:val="both"/>
              <w:rPr>
                <w:rFonts w:hint="default"/>
                <w:highlight w:val="none"/>
                <w:vertAlign w:val="baseline"/>
                <w:lang w:val="en-US" w:eastAsia="zh-CN"/>
              </w:rPr>
            </w:pPr>
            <w:r>
              <w:rPr>
                <w:rFonts w:hint="eastAsia"/>
                <w:highlight w:val="none"/>
                <w:vertAlign w:val="baseline"/>
                <w:lang w:val="en-US" w:eastAsia="zh-CN"/>
              </w:rPr>
              <w:t>序号</w:t>
            </w:r>
          </w:p>
        </w:tc>
        <w:tc>
          <w:tcPr>
            <w:tcW w:w="2556" w:type="dxa"/>
          </w:tcPr>
          <w:p w14:paraId="79A301A3">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工作事项</w:t>
            </w:r>
          </w:p>
        </w:tc>
        <w:tc>
          <w:tcPr>
            <w:tcW w:w="1848" w:type="dxa"/>
          </w:tcPr>
          <w:p w14:paraId="60D83D08">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时间</w:t>
            </w:r>
          </w:p>
        </w:tc>
        <w:tc>
          <w:tcPr>
            <w:tcW w:w="3146" w:type="dxa"/>
          </w:tcPr>
          <w:p w14:paraId="1EBE93E8">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备注</w:t>
            </w:r>
          </w:p>
        </w:tc>
      </w:tr>
      <w:tr w14:paraId="53483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tcPr>
          <w:p w14:paraId="75238909">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1</w:t>
            </w:r>
          </w:p>
        </w:tc>
        <w:tc>
          <w:tcPr>
            <w:tcW w:w="2556" w:type="dxa"/>
          </w:tcPr>
          <w:p w14:paraId="467BA96E">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学员报道</w:t>
            </w:r>
          </w:p>
        </w:tc>
        <w:tc>
          <w:tcPr>
            <w:tcW w:w="1848" w:type="dxa"/>
          </w:tcPr>
          <w:p w14:paraId="2EF7966E">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第1天</w:t>
            </w:r>
          </w:p>
        </w:tc>
        <w:tc>
          <w:tcPr>
            <w:tcW w:w="3146" w:type="dxa"/>
          </w:tcPr>
          <w:p w14:paraId="68AB7A68">
            <w:pPr>
              <w:jc w:val="both"/>
              <w:rPr>
                <w:rFonts w:hint="default"/>
                <w:highlight w:val="none"/>
                <w:vertAlign w:val="baseline"/>
                <w:lang w:val="en-US" w:eastAsia="zh-CN"/>
              </w:rPr>
            </w:pPr>
          </w:p>
        </w:tc>
      </w:tr>
      <w:tr w14:paraId="499CF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tcPr>
          <w:p w14:paraId="54753253">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2</w:t>
            </w:r>
          </w:p>
        </w:tc>
        <w:tc>
          <w:tcPr>
            <w:tcW w:w="2556" w:type="dxa"/>
          </w:tcPr>
          <w:p w14:paraId="65137163">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航空理论知识学习</w:t>
            </w:r>
          </w:p>
        </w:tc>
        <w:tc>
          <w:tcPr>
            <w:tcW w:w="1848" w:type="dxa"/>
          </w:tcPr>
          <w:p w14:paraId="2122C3A3">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第2天-第5天</w:t>
            </w:r>
          </w:p>
        </w:tc>
        <w:tc>
          <w:tcPr>
            <w:tcW w:w="3146" w:type="dxa"/>
          </w:tcPr>
          <w:p w14:paraId="3574F91C">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原理、气象、法规、系统结构等</w:t>
            </w:r>
          </w:p>
        </w:tc>
      </w:tr>
      <w:tr w14:paraId="1012B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tcPr>
          <w:p w14:paraId="1FADB398">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3</w:t>
            </w:r>
          </w:p>
        </w:tc>
        <w:tc>
          <w:tcPr>
            <w:tcW w:w="2556" w:type="dxa"/>
          </w:tcPr>
          <w:p w14:paraId="4FA96671">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实践飞行训练</w:t>
            </w:r>
          </w:p>
        </w:tc>
        <w:tc>
          <w:tcPr>
            <w:tcW w:w="1848" w:type="dxa"/>
          </w:tcPr>
          <w:p w14:paraId="2C7606DC">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第6天-第19天</w:t>
            </w:r>
          </w:p>
        </w:tc>
        <w:tc>
          <w:tcPr>
            <w:tcW w:w="3146" w:type="dxa"/>
          </w:tcPr>
          <w:p w14:paraId="77B0E862">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起降操作、360度慢速自旋、四边航线、水平八字航线</w:t>
            </w:r>
          </w:p>
        </w:tc>
      </w:tr>
      <w:tr w14:paraId="37E39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tcPr>
          <w:p w14:paraId="60EA05F0">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4</w:t>
            </w:r>
          </w:p>
        </w:tc>
        <w:tc>
          <w:tcPr>
            <w:tcW w:w="2556" w:type="dxa"/>
          </w:tcPr>
          <w:p w14:paraId="41FF5343">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民航执照培训&amp;考试</w:t>
            </w:r>
          </w:p>
        </w:tc>
        <w:tc>
          <w:tcPr>
            <w:tcW w:w="1848" w:type="dxa"/>
          </w:tcPr>
          <w:p w14:paraId="23A3E369">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第20天-第21天</w:t>
            </w:r>
          </w:p>
        </w:tc>
        <w:tc>
          <w:tcPr>
            <w:tcW w:w="3146" w:type="dxa"/>
          </w:tcPr>
          <w:p w14:paraId="6F34E1D5">
            <w:pPr>
              <w:ind w:left="0" w:leftChars="0" w:firstLine="0" w:firstLineChars="0"/>
              <w:jc w:val="center"/>
              <w:rPr>
                <w:rFonts w:hint="default"/>
                <w:highlight w:val="none"/>
                <w:vertAlign w:val="baseline"/>
                <w:lang w:val="en-US" w:eastAsia="zh-CN"/>
              </w:rPr>
            </w:pPr>
            <w:r>
              <w:rPr>
                <w:rFonts w:hint="eastAsia"/>
                <w:highlight w:val="none"/>
                <w:vertAlign w:val="baseline"/>
                <w:lang w:val="en-US" w:eastAsia="zh-CN"/>
              </w:rPr>
              <w:t>理论&amp;实操考试</w:t>
            </w:r>
          </w:p>
        </w:tc>
      </w:tr>
    </w:tbl>
    <w:p w14:paraId="4365B276">
      <w:pPr>
        <w:ind w:firstLine="480"/>
        <w:rPr>
          <w:rFonts w:hint="default"/>
          <w:highlight w:val="none"/>
          <w:lang w:val="en-US" w:eastAsia="zh-CN"/>
        </w:rPr>
      </w:pPr>
      <w:r>
        <w:rPr>
          <w:rFonts w:hint="default"/>
          <w:highlight w:val="none"/>
          <w:lang w:val="en-US" w:eastAsia="zh-CN"/>
        </w:rPr>
        <w:t>所有培训结束后，参加理论和实践考试，考试合格者颁发中国民航局方CAAC颁发的民用无人驾驶航空器系统驾驶执照。</w:t>
      </w:r>
    </w:p>
    <w:p w14:paraId="2AB7F358">
      <w:pPr>
        <w:ind w:firstLine="480"/>
        <w:rPr>
          <w:rFonts w:hint="eastAsia"/>
        </w:rPr>
      </w:pPr>
      <w:r>
        <w:rPr>
          <w:rFonts w:hint="eastAsia"/>
        </w:rPr>
        <w:t>在运行</w:t>
      </w:r>
      <w:r>
        <w:rPr>
          <w:rFonts w:hint="eastAsia"/>
          <w:lang w:val="en-US" w:eastAsia="zh-CN"/>
        </w:rPr>
        <w:t>系统</w:t>
      </w:r>
      <w:r>
        <w:rPr>
          <w:rFonts w:hint="eastAsia"/>
        </w:rPr>
        <w:t>应用前，对使用人员进行现场培训，让使用人员可以独立操作</w:t>
      </w:r>
      <w:r>
        <w:rPr>
          <w:rFonts w:hint="eastAsia"/>
          <w:lang w:eastAsia="zh-CN"/>
        </w:rPr>
        <w:t>（</w:t>
      </w:r>
      <w:r>
        <w:rPr>
          <w:rFonts w:hint="eastAsia"/>
          <w:lang w:val="en-US" w:eastAsia="zh-CN"/>
        </w:rPr>
        <w:t>平台各个功能模块独立操作</w:t>
      </w:r>
      <w:r>
        <w:rPr>
          <w:rFonts w:hint="eastAsia"/>
          <w:lang w:eastAsia="zh-CN"/>
        </w:rPr>
        <w:t>）</w:t>
      </w:r>
      <w:r>
        <w:rPr>
          <w:rFonts w:hint="eastAsia"/>
        </w:rPr>
        <w:t>、维护和管理</w:t>
      </w:r>
      <w:r>
        <w:rPr>
          <w:rFonts w:hint="eastAsia"/>
          <w:lang w:eastAsia="zh-CN"/>
        </w:rPr>
        <w:t>（</w:t>
      </w:r>
      <w:r>
        <w:rPr>
          <w:rFonts w:hint="eastAsia"/>
          <w:lang w:val="en-US" w:eastAsia="zh-CN"/>
        </w:rPr>
        <w:t>账号，权限等</w:t>
      </w:r>
      <w:r>
        <w:rPr>
          <w:rFonts w:hint="eastAsia"/>
          <w:lang w:eastAsia="zh-CN"/>
        </w:rPr>
        <w:t>）</w:t>
      </w:r>
      <w:r>
        <w:rPr>
          <w:rFonts w:hint="eastAsia"/>
        </w:rPr>
        <w:t>，从而确保软件</w:t>
      </w:r>
      <w:r>
        <w:rPr>
          <w:rFonts w:hint="eastAsia"/>
          <w:lang w:val="en-US" w:eastAsia="zh-CN"/>
        </w:rPr>
        <w:t>系统</w:t>
      </w:r>
      <w:r>
        <w:rPr>
          <w:rFonts w:hint="eastAsia"/>
        </w:rPr>
        <w:t>能正常安全运行。</w:t>
      </w:r>
      <w:r>
        <w:rPr>
          <w:rFonts w:hint="eastAsia"/>
          <w:lang w:val="en-US" w:eastAsia="zh-CN"/>
        </w:rPr>
        <w:t>培训前</w:t>
      </w:r>
      <w:r>
        <w:rPr>
          <w:rFonts w:hint="eastAsia"/>
        </w:rPr>
        <w:t>需提供详细的软硬件操作手册，并进行规范和完善的软硬件操作培训，达到能独立正确地操作软硬件系统。</w:t>
      </w:r>
    </w:p>
    <w:p w14:paraId="75B7E9D7">
      <w:pPr>
        <w:ind w:firstLine="480"/>
        <w:rPr>
          <w:rFonts w:hint="eastAsia"/>
        </w:rPr>
      </w:pPr>
      <w:r>
        <w:rPr>
          <w:rFonts w:hint="eastAsia"/>
          <w:lang w:val="en-US" w:eastAsia="zh-CN"/>
        </w:rPr>
        <w:t>系统应用</w:t>
      </w:r>
      <w:r>
        <w:rPr>
          <w:rFonts w:hint="eastAsia"/>
        </w:rPr>
        <w:t>培训计划安排如下：</w:t>
      </w:r>
    </w:p>
    <w:p w14:paraId="75B7E9D8">
      <w:pPr>
        <w:ind w:firstLine="0" w:firstLineChars="0"/>
        <w:jc w:val="center"/>
        <w:rPr>
          <w:rFonts w:hint="eastAsia"/>
          <w:b/>
          <w:szCs w:val="24"/>
        </w:rPr>
      </w:pPr>
      <w:r>
        <w:rPr>
          <w:rFonts w:hint="eastAsia"/>
          <w:b/>
          <w:szCs w:val="24"/>
        </w:rPr>
        <w:t>培训计划安排表</w:t>
      </w:r>
    </w:p>
    <w:tbl>
      <w:tblPr>
        <w:tblStyle w:val="3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1"/>
        <w:gridCol w:w="1709"/>
        <w:gridCol w:w="1422"/>
        <w:gridCol w:w="1564"/>
        <w:gridCol w:w="2186"/>
      </w:tblGrid>
      <w:tr w14:paraId="75B7E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856" w:type="pct"/>
            <w:tcBorders>
              <w:top w:val="single" w:color="auto" w:sz="4" w:space="0"/>
              <w:left w:val="single" w:color="auto" w:sz="4" w:space="0"/>
              <w:bottom w:val="single" w:color="auto" w:sz="4" w:space="0"/>
              <w:right w:val="single" w:color="auto" w:sz="4" w:space="0"/>
            </w:tcBorders>
            <w:vAlign w:val="center"/>
          </w:tcPr>
          <w:p w14:paraId="75B7E9D9">
            <w:pPr>
              <w:ind w:firstLine="0" w:firstLineChars="0"/>
              <w:rPr>
                <w:rFonts w:hint="eastAsia"/>
              </w:rPr>
            </w:pPr>
            <w:r>
              <w:rPr>
                <w:rFonts w:hint="eastAsia"/>
              </w:rPr>
              <w:t>培训课程</w:t>
            </w:r>
          </w:p>
        </w:tc>
        <w:tc>
          <w:tcPr>
            <w:tcW w:w="1029" w:type="pct"/>
            <w:tcBorders>
              <w:top w:val="single" w:color="auto" w:sz="4" w:space="0"/>
              <w:left w:val="single" w:color="auto" w:sz="4" w:space="0"/>
              <w:bottom w:val="single" w:color="auto" w:sz="4" w:space="0"/>
              <w:right w:val="single" w:color="auto" w:sz="4" w:space="0"/>
            </w:tcBorders>
            <w:vAlign w:val="center"/>
          </w:tcPr>
          <w:p w14:paraId="75B7E9DA">
            <w:pPr>
              <w:ind w:firstLine="0" w:firstLineChars="0"/>
              <w:rPr>
                <w:rFonts w:hint="eastAsia"/>
              </w:rPr>
            </w:pPr>
            <w:r>
              <w:rPr>
                <w:rFonts w:hint="eastAsia"/>
              </w:rPr>
              <w:t>培训人数</w:t>
            </w:r>
          </w:p>
        </w:tc>
        <w:tc>
          <w:tcPr>
            <w:tcW w:w="856" w:type="pct"/>
            <w:tcBorders>
              <w:top w:val="single" w:color="auto" w:sz="4" w:space="0"/>
              <w:left w:val="single" w:color="auto" w:sz="4" w:space="0"/>
              <w:bottom w:val="single" w:color="auto" w:sz="4" w:space="0"/>
              <w:right w:val="single" w:color="auto" w:sz="4" w:space="0"/>
            </w:tcBorders>
            <w:vAlign w:val="center"/>
          </w:tcPr>
          <w:p w14:paraId="75B7E9DB">
            <w:pPr>
              <w:ind w:firstLine="0" w:firstLineChars="0"/>
              <w:rPr>
                <w:rFonts w:hint="eastAsia"/>
              </w:rPr>
            </w:pPr>
            <w:r>
              <w:rPr>
                <w:rFonts w:hint="eastAsia"/>
              </w:rPr>
              <w:t>培训场次</w:t>
            </w:r>
          </w:p>
        </w:tc>
        <w:tc>
          <w:tcPr>
            <w:tcW w:w="942" w:type="pct"/>
            <w:tcBorders>
              <w:top w:val="single" w:color="auto" w:sz="4" w:space="0"/>
              <w:left w:val="single" w:color="auto" w:sz="4" w:space="0"/>
              <w:bottom w:val="single" w:color="auto" w:sz="4" w:space="0"/>
              <w:right w:val="single" w:color="auto" w:sz="4" w:space="0"/>
            </w:tcBorders>
            <w:vAlign w:val="center"/>
          </w:tcPr>
          <w:p w14:paraId="75B7E9DC">
            <w:pPr>
              <w:ind w:firstLine="0" w:firstLineChars="0"/>
              <w:rPr>
                <w:rFonts w:hint="eastAsia"/>
              </w:rPr>
            </w:pPr>
            <w:r>
              <w:rPr>
                <w:rFonts w:hint="eastAsia"/>
              </w:rPr>
              <w:t>合计</w:t>
            </w:r>
          </w:p>
        </w:tc>
        <w:tc>
          <w:tcPr>
            <w:tcW w:w="1316" w:type="pct"/>
            <w:tcBorders>
              <w:top w:val="single" w:color="auto" w:sz="4" w:space="0"/>
              <w:left w:val="single" w:color="auto" w:sz="4" w:space="0"/>
              <w:bottom w:val="single" w:color="auto" w:sz="4" w:space="0"/>
              <w:right w:val="single" w:color="auto" w:sz="4" w:space="0"/>
            </w:tcBorders>
            <w:vAlign w:val="center"/>
          </w:tcPr>
          <w:p w14:paraId="75B7E9DD">
            <w:pPr>
              <w:ind w:firstLine="0" w:firstLineChars="0"/>
              <w:rPr>
                <w:rFonts w:hint="eastAsia"/>
              </w:rPr>
            </w:pPr>
            <w:r>
              <w:rPr>
                <w:rFonts w:hint="eastAsia"/>
              </w:rPr>
              <w:t>备注</w:t>
            </w:r>
          </w:p>
        </w:tc>
      </w:tr>
      <w:tr w14:paraId="75B7E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856" w:type="pct"/>
            <w:tcBorders>
              <w:top w:val="single" w:color="auto" w:sz="4" w:space="0"/>
              <w:left w:val="single" w:color="auto" w:sz="4" w:space="0"/>
              <w:bottom w:val="single" w:color="auto" w:sz="4" w:space="0"/>
              <w:right w:val="single" w:color="auto" w:sz="4" w:space="0"/>
            </w:tcBorders>
            <w:vAlign w:val="center"/>
          </w:tcPr>
          <w:p w14:paraId="75B7E9DF">
            <w:pPr>
              <w:ind w:firstLine="0" w:firstLineChars="0"/>
              <w:rPr>
                <w:rFonts w:hint="eastAsia"/>
                <w:lang w:val="en-US"/>
              </w:rPr>
            </w:pPr>
            <w:r>
              <w:rPr>
                <w:rFonts w:hint="eastAsia"/>
                <w:lang w:val="en-US"/>
              </w:rPr>
              <w:t>管理培训</w:t>
            </w:r>
          </w:p>
        </w:tc>
        <w:tc>
          <w:tcPr>
            <w:tcW w:w="1029" w:type="pct"/>
            <w:tcBorders>
              <w:left w:val="single" w:color="auto" w:sz="4" w:space="0"/>
              <w:right w:val="single" w:color="auto" w:sz="4" w:space="0"/>
            </w:tcBorders>
            <w:vAlign w:val="center"/>
          </w:tcPr>
          <w:p w14:paraId="75B7E9E0">
            <w:pPr>
              <w:ind w:firstLine="0" w:firstLineChars="0"/>
              <w:rPr>
                <w:rFonts w:hint="eastAsia"/>
                <w:lang w:val="en-US"/>
              </w:rPr>
            </w:pPr>
            <w:r>
              <w:rPr>
                <w:rFonts w:hint="eastAsia"/>
                <w:lang w:val="en-US"/>
              </w:rPr>
              <w:t>12</w:t>
            </w:r>
          </w:p>
        </w:tc>
        <w:tc>
          <w:tcPr>
            <w:tcW w:w="856" w:type="pct"/>
            <w:tcBorders>
              <w:left w:val="single" w:color="auto" w:sz="4" w:space="0"/>
              <w:right w:val="single" w:color="auto" w:sz="4" w:space="0"/>
            </w:tcBorders>
            <w:vAlign w:val="center"/>
          </w:tcPr>
          <w:p w14:paraId="75B7E9E1">
            <w:pPr>
              <w:ind w:firstLine="0" w:firstLineChars="0"/>
              <w:rPr>
                <w:rFonts w:hint="eastAsia"/>
                <w:lang w:val="en-US"/>
              </w:rPr>
            </w:pPr>
            <w:r>
              <w:rPr>
                <w:rFonts w:hint="eastAsia"/>
                <w:lang w:val="en-US"/>
              </w:rPr>
              <w:t>6</w:t>
            </w:r>
          </w:p>
        </w:tc>
        <w:tc>
          <w:tcPr>
            <w:tcW w:w="942" w:type="pct"/>
            <w:tcBorders>
              <w:left w:val="single" w:color="auto" w:sz="4" w:space="0"/>
              <w:right w:val="single" w:color="auto" w:sz="4" w:space="0"/>
            </w:tcBorders>
            <w:vAlign w:val="center"/>
          </w:tcPr>
          <w:p w14:paraId="75B7E9E2">
            <w:pPr>
              <w:ind w:firstLine="0" w:firstLineChars="0"/>
              <w:rPr>
                <w:rFonts w:hint="eastAsia"/>
                <w:lang w:val="en-US"/>
              </w:rPr>
            </w:pPr>
            <w:r>
              <w:rPr>
                <w:rFonts w:hint="eastAsia"/>
                <w:lang w:val="en-US"/>
              </w:rPr>
              <w:t>72人场次</w:t>
            </w:r>
          </w:p>
        </w:tc>
        <w:tc>
          <w:tcPr>
            <w:tcW w:w="1316" w:type="pct"/>
            <w:tcBorders>
              <w:left w:val="single" w:color="auto" w:sz="4" w:space="0"/>
              <w:right w:val="single" w:color="auto" w:sz="4" w:space="0"/>
            </w:tcBorders>
            <w:vAlign w:val="center"/>
          </w:tcPr>
          <w:p w14:paraId="75B7E9E3">
            <w:pPr>
              <w:ind w:firstLine="0" w:firstLineChars="0"/>
              <w:rPr>
                <w:rFonts w:hint="eastAsia"/>
              </w:rPr>
            </w:pPr>
          </w:p>
        </w:tc>
      </w:tr>
      <w:tr w14:paraId="75B7E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856" w:type="pct"/>
            <w:tcBorders>
              <w:top w:val="single" w:color="auto" w:sz="4" w:space="0"/>
              <w:left w:val="single" w:color="auto" w:sz="4" w:space="0"/>
              <w:bottom w:val="single" w:color="auto" w:sz="4" w:space="0"/>
              <w:right w:val="single" w:color="auto" w:sz="4" w:space="0"/>
            </w:tcBorders>
            <w:vAlign w:val="center"/>
          </w:tcPr>
          <w:p w14:paraId="75B7E9E5">
            <w:pPr>
              <w:ind w:firstLine="0" w:firstLineChars="0"/>
              <w:rPr>
                <w:rFonts w:hint="eastAsia"/>
              </w:rPr>
            </w:pPr>
            <w:r>
              <w:rPr>
                <w:rFonts w:hint="eastAsia"/>
              </w:rPr>
              <w:t>维护培训</w:t>
            </w:r>
          </w:p>
        </w:tc>
        <w:tc>
          <w:tcPr>
            <w:tcW w:w="1029" w:type="pct"/>
            <w:tcBorders>
              <w:left w:val="single" w:color="auto" w:sz="4" w:space="0"/>
              <w:right w:val="single" w:color="auto" w:sz="4" w:space="0"/>
            </w:tcBorders>
            <w:vAlign w:val="center"/>
          </w:tcPr>
          <w:p w14:paraId="75B7E9E6">
            <w:pPr>
              <w:ind w:firstLine="0" w:firstLineChars="0"/>
              <w:rPr>
                <w:rFonts w:hint="eastAsia"/>
                <w:lang w:val="en-US"/>
              </w:rPr>
            </w:pPr>
            <w:r>
              <w:rPr>
                <w:rFonts w:hint="eastAsia"/>
                <w:lang w:val="en-US"/>
              </w:rPr>
              <w:t>12</w:t>
            </w:r>
          </w:p>
        </w:tc>
        <w:tc>
          <w:tcPr>
            <w:tcW w:w="856" w:type="pct"/>
            <w:tcBorders>
              <w:left w:val="single" w:color="auto" w:sz="4" w:space="0"/>
              <w:right w:val="single" w:color="auto" w:sz="4" w:space="0"/>
            </w:tcBorders>
            <w:vAlign w:val="center"/>
          </w:tcPr>
          <w:p w14:paraId="75B7E9E7">
            <w:pPr>
              <w:ind w:firstLine="0" w:firstLineChars="0"/>
              <w:rPr>
                <w:rFonts w:hint="eastAsia"/>
              </w:rPr>
            </w:pPr>
            <w:r>
              <w:rPr>
                <w:rFonts w:hint="eastAsia"/>
              </w:rPr>
              <w:t>6</w:t>
            </w:r>
          </w:p>
        </w:tc>
        <w:tc>
          <w:tcPr>
            <w:tcW w:w="942" w:type="pct"/>
            <w:tcBorders>
              <w:left w:val="single" w:color="auto" w:sz="4" w:space="0"/>
              <w:right w:val="single" w:color="auto" w:sz="4" w:space="0"/>
            </w:tcBorders>
            <w:vAlign w:val="center"/>
          </w:tcPr>
          <w:p w14:paraId="75B7E9E8">
            <w:pPr>
              <w:ind w:firstLine="0" w:firstLineChars="0"/>
              <w:rPr>
                <w:rFonts w:hint="eastAsia"/>
              </w:rPr>
            </w:pPr>
            <w:r>
              <w:rPr>
                <w:rFonts w:hint="eastAsia"/>
              </w:rPr>
              <w:t>72人场次</w:t>
            </w:r>
          </w:p>
        </w:tc>
        <w:tc>
          <w:tcPr>
            <w:tcW w:w="1316" w:type="pct"/>
            <w:tcBorders>
              <w:left w:val="single" w:color="auto" w:sz="4" w:space="0"/>
              <w:right w:val="single" w:color="auto" w:sz="4" w:space="0"/>
            </w:tcBorders>
            <w:vAlign w:val="center"/>
          </w:tcPr>
          <w:p w14:paraId="75B7E9E9">
            <w:pPr>
              <w:ind w:firstLine="0" w:firstLineChars="0"/>
              <w:rPr>
                <w:rFonts w:hint="eastAsia"/>
              </w:rPr>
            </w:pPr>
          </w:p>
        </w:tc>
      </w:tr>
      <w:tr w14:paraId="75B7E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856" w:type="pct"/>
            <w:tcBorders>
              <w:top w:val="single" w:color="auto" w:sz="4" w:space="0"/>
              <w:left w:val="single" w:color="auto" w:sz="4" w:space="0"/>
              <w:bottom w:val="single" w:color="auto" w:sz="4" w:space="0"/>
              <w:right w:val="single" w:color="auto" w:sz="4" w:space="0"/>
            </w:tcBorders>
            <w:vAlign w:val="center"/>
          </w:tcPr>
          <w:p w14:paraId="75B7E9EB">
            <w:pPr>
              <w:ind w:firstLine="0" w:firstLineChars="0"/>
              <w:rPr>
                <w:rFonts w:hint="eastAsia"/>
              </w:rPr>
            </w:pPr>
            <w:r>
              <w:rPr>
                <w:rFonts w:hint="eastAsia"/>
              </w:rPr>
              <w:t>操作培训</w:t>
            </w:r>
          </w:p>
        </w:tc>
        <w:tc>
          <w:tcPr>
            <w:tcW w:w="1029" w:type="pct"/>
            <w:tcBorders>
              <w:left w:val="single" w:color="auto" w:sz="4" w:space="0"/>
              <w:right w:val="single" w:color="auto" w:sz="4" w:space="0"/>
            </w:tcBorders>
            <w:vAlign w:val="center"/>
          </w:tcPr>
          <w:p w14:paraId="75B7E9EC">
            <w:pPr>
              <w:ind w:firstLine="0" w:firstLineChars="0"/>
              <w:rPr>
                <w:rFonts w:hint="eastAsia"/>
                <w:lang w:val="en-US"/>
              </w:rPr>
            </w:pPr>
            <w:r>
              <w:rPr>
                <w:rFonts w:hint="eastAsia"/>
                <w:lang w:val="en-US"/>
              </w:rPr>
              <w:t>60</w:t>
            </w:r>
          </w:p>
        </w:tc>
        <w:tc>
          <w:tcPr>
            <w:tcW w:w="856" w:type="pct"/>
            <w:tcBorders>
              <w:left w:val="single" w:color="auto" w:sz="4" w:space="0"/>
              <w:right w:val="single" w:color="auto" w:sz="4" w:space="0"/>
            </w:tcBorders>
            <w:vAlign w:val="center"/>
          </w:tcPr>
          <w:p w14:paraId="75B7E9ED">
            <w:pPr>
              <w:ind w:firstLine="0" w:firstLineChars="0"/>
              <w:rPr>
                <w:rFonts w:hint="eastAsia"/>
              </w:rPr>
            </w:pPr>
            <w:r>
              <w:rPr>
                <w:rFonts w:hint="eastAsia"/>
              </w:rPr>
              <w:t>6</w:t>
            </w:r>
          </w:p>
        </w:tc>
        <w:tc>
          <w:tcPr>
            <w:tcW w:w="942" w:type="pct"/>
            <w:tcBorders>
              <w:left w:val="single" w:color="auto" w:sz="4" w:space="0"/>
              <w:right w:val="single" w:color="auto" w:sz="4" w:space="0"/>
            </w:tcBorders>
            <w:vAlign w:val="center"/>
          </w:tcPr>
          <w:p w14:paraId="75B7E9EE">
            <w:pPr>
              <w:ind w:firstLine="0" w:firstLineChars="0"/>
              <w:rPr>
                <w:rFonts w:hint="eastAsia"/>
              </w:rPr>
            </w:pPr>
            <w:r>
              <w:rPr>
                <w:rFonts w:hint="eastAsia"/>
                <w:lang w:val="en-US"/>
              </w:rPr>
              <w:t>360</w:t>
            </w:r>
            <w:r>
              <w:rPr>
                <w:rFonts w:hint="eastAsia"/>
              </w:rPr>
              <w:t>人场次</w:t>
            </w:r>
          </w:p>
        </w:tc>
        <w:tc>
          <w:tcPr>
            <w:tcW w:w="1316" w:type="pct"/>
            <w:tcBorders>
              <w:left w:val="single" w:color="auto" w:sz="4" w:space="0"/>
              <w:right w:val="single" w:color="auto" w:sz="4" w:space="0"/>
            </w:tcBorders>
            <w:vAlign w:val="center"/>
          </w:tcPr>
          <w:p w14:paraId="75B7E9EF">
            <w:pPr>
              <w:ind w:firstLine="0" w:firstLineChars="0"/>
              <w:rPr>
                <w:rFonts w:hint="eastAsia"/>
              </w:rPr>
            </w:pPr>
          </w:p>
        </w:tc>
      </w:tr>
    </w:tbl>
    <w:p w14:paraId="75B7E9F1">
      <w:pPr>
        <w:ind w:firstLine="480"/>
        <w:rPr>
          <w:rFonts w:hint="eastAsia"/>
        </w:rPr>
      </w:pPr>
      <w:r>
        <w:rPr>
          <w:rFonts w:hint="eastAsia"/>
        </w:rPr>
        <w:t>本项目计划培训共计</w:t>
      </w:r>
      <w:r>
        <w:rPr>
          <w:rFonts w:hint="eastAsia"/>
          <w:lang w:val="en-US"/>
        </w:rPr>
        <w:t>504</w:t>
      </w:r>
      <w:r>
        <w:rPr>
          <w:rFonts w:hint="eastAsia"/>
        </w:rPr>
        <w:t>人场次，根据《湖南省省直机关培训费管理办法》要求：本项目建议采用</w:t>
      </w:r>
      <w:r>
        <w:rPr>
          <w:rFonts w:hint="eastAsia"/>
          <w:lang w:val="en-US"/>
        </w:rPr>
        <w:t>局内</w:t>
      </w:r>
      <w:r>
        <w:rPr>
          <w:rFonts w:hint="eastAsia"/>
        </w:rPr>
        <w:t>培训方式。</w:t>
      </w:r>
    </w:p>
    <w:p w14:paraId="75B7E9F8">
      <w:pPr>
        <w:pStyle w:val="3"/>
        <w:numPr>
          <w:ilvl w:val="1"/>
          <w:numId w:val="17"/>
        </w:numPr>
        <w:rPr>
          <w:lang w:val="en-US"/>
        </w:rPr>
      </w:pPr>
      <w:bookmarkStart w:id="271" w:name="_Toc13837"/>
      <w:r>
        <w:rPr>
          <w:rFonts w:hint="eastAsia"/>
          <w:lang w:val="en-US"/>
        </w:rPr>
        <w:t>项目质量保障</w:t>
      </w:r>
      <w:bookmarkEnd w:id="271"/>
    </w:p>
    <w:p w14:paraId="75B7E9F9">
      <w:pPr>
        <w:pStyle w:val="4"/>
        <w:numPr>
          <w:ilvl w:val="2"/>
          <w:numId w:val="17"/>
        </w:numPr>
        <w:ind w:left="-2" w:leftChars="-4" w:hanging="7" w:hangingChars="3"/>
        <w:rPr>
          <w:rFonts w:hint="eastAsia"/>
        </w:rPr>
      </w:pPr>
      <w:bookmarkStart w:id="272" w:name="_Toc296"/>
      <w:r>
        <w:rPr>
          <w:rFonts w:hint="eastAsia"/>
          <w:lang w:val="en-US"/>
        </w:rPr>
        <w:t>组织</w:t>
      </w:r>
      <w:r>
        <w:rPr>
          <w:rFonts w:hint="eastAsia"/>
        </w:rPr>
        <w:t>与人员保障</w:t>
      </w:r>
      <w:bookmarkEnd w:id="272"/>
    </w:p>
    <w:p w14:paraId="75B7E9FA">
      <w:pPr>
        <w:ind w:firstLine="480"/>
        <w:rPr>
          <w:rFonts w:hint="eastAsia"/>
        </w:rPr>
      </w:pPr>
      <w:r>
        <w:rPr>
          <w:rFonts w:hint="eastAsia"/>
        </w:rPr>
        <w:t>建立专业管理团队：成立由项目负责人、技术专家、业务骨干等组成的项目管理团队，负责项目的整体规划、协调和监督。明确各成员的职责和权限，确保项目实施过程中的决策科学、执行高效。</w:t>
      </w:r>
    </w:p>
    <w:p w14:paraId="75B7E9FB">
      <w:pPr>
        <w:ind w:firstLine="480"/>
        <w:rPr>
          <w:rFonts w:hint="eastAsia"/>
        </w:rPr>
      </w:pPr>
      <w:r>
        <w:rPr>
          <w:rFonts w:hint="eastAsia"/>
        </w:rPr>
        <w:t>人员培训与能力提升：针对项目涉及的技术和业务知识，对相关人员进行系统培训。包括对大数据分析、业务流程等方面的培训，提高团队成员的专业素养和业务能力。定期组织技术交流和经验分享活动，促进团队成员的共同成长。</w:t>
      </w:r>
    </w:p>
    <w:p w14:paraId="75B7E9FC">
      <w:pPr>
        <w:ind w:firstLine="480"/>
        <w:rPr>
          <w:rFonts w:hint="eastAsia"/>
        </w:rPr>
      </w:pPr>
      <w:r>
        <w:rPr>
          <w:rFonts w:hint="eastAsia"/>
        </w:rPr>
        <w:t>组织保障体系：</w:t>
      </w:r>
    </w:p>
    <w:p w14:paraId="75B7E9FD">
      <w:pPr>
        <w:ind w:firstLine="480"/>
        <w:rPr>
          <w:rFonts w:hint="eastAsia"/>
        </w:rPr>
      </w:pPr>
      <w:r>
        <w:rPr>
          <w:rFonts w:hint="eastAsia"/>
        </w:rPr>
        <w:t>1. 横向协同机制</w:t>
      </w:r>
    </w:p>
    <w:p w14:paraId="75B7E9FE">
      <w:pPr>
        <w:ind w:firstLine="480"/>
        <w:rPr>
          <w:rFonts w:hint="eastAsia"/>
        </w:rPr>
      </w:pPr>
      <w:r>
        <w:rPr>
          <w:rFonts w:hint="eastAsia"/>
        </w:rPr>
        <w:t>跨部门联动：与气象部门共享实时数据（风力、温度、湿度），与消防部门建立联合应急队伍（配备5辆应急车）</w:t>
      </w:r>
    </w:p>
    <w:p w14:paraId="75B7E9FF">
      <w:pPr>
        <w:ind w:firstLine="480"/>
        <w:rPr>
          <w:rFonts w:hint="eastAsia"/>
        </w:rPr>
      </w:pPr>
      <w:r>
        <w:rPr>
          <w:rFonts w:hint="eastAsia"/>
        </w:rPr>
        <w:t>区域联防：与相邻省份林业局签订《火情互助协议》，明确支援队伍到达时限（本省2小时，邻省6小时）</w:t>
      </w:r>
    </w:p>
    <w:p w14:paraId="75B7EA00">
      <w:pPr>
        <w:ind w:firstLine="480"/>
        <w:rPr>
          <w:rFonts w:hint="eastAsia"/>
        </w:rPr>
      </w:pPr>
      <w:r>
        <w:rPr>
          <w:rFonts w:hint="eastAsia"/>
        </w:rPr>
        <w:t>2. 纵向指挥体系</w:t>
      </w:r>
    </w:p>
    <w:p w14:paraId="75B7EA01">
      <w:pPr>
        <w:ind w:firstLine="480"/>
        <w:rPr>
          <w:rFonts w:hint="eastAsia"/>
        </w:rPr>
      </w:pPr>
      <w:r>
        <w:rPr>
          <w:rFonts w:hint="eastAsia"/>
        </w:rPr>
        <w:t>层级</w:t>
      </w:r>
      <w:r>
        <w:rPr>
          <w:rFonts w:hint="eastAsia"/>
        </w:rPr>
        <w:tab/>
      </w:r>
      <w:r>
        <w:rPr>
          <w:rFonts w:hint="eastAsia"/>
        </w:rPr>
        <w:t>职责</w:t>
      </w:r>
      <w:r>
        <w:rPr>
          <w:rFonts w:hint="eastAsia"/>
        </w:rPr>
        <w:tab/>
      </w:r>
      <w:r>
        <w:rPr>
          <w:rFonts w:hint="eastAsia"/>
        </w:rPr>
        <w:t>响应时限</w:t>
      </w:r>
    </w:p>
    <w:p w14:paraId="75B7EA03">
      <w:pPr>
        <w:ind w:firstLine="480"/>
        <w:rPr>
          <w:rFonts w:hint="eastAsia"/>
        </w:rPr>
      </w:pPr>
      <w:r>
        <w:rPr>
          <w:rFonts w:hint="eastAsia"/>
        </w:rPr>
        <w:t>市级分中心</w:t>
      </w:r>
      <w:r>
        <w:rPr>
          <w:rFonts w:hint="eastAsia"/>
        </w:rPr>
        <w:tab/>
      </w:r>
      <w:r>
        <w:rPr>
          <w:rFonts w:hint="eastAsia"/>
        </w:rPr>
        <w:t>启动区域应急预案、调配本地灭火设备、上报火情进展</w:t>
      </w:r>
      <w:r>
        <w:rPr>
          <w:rFonts w:hint="eastAsia"/>
        </w:rPr>
        <w:tab/>
      </w:r>
      <w:r>
        <w:rPr>
          <w:rFonts w:hint="eastAsia"/>
        </w:rPr>
        <w:t>15分钟内响应</w:t>
      </w:r>
    </w:p>
    <w:p w14:paraId="75B7EA04">
      <w:pPr>
        <w:ind w:firstLine="480"/>
        <w:rPr>
          <w:rFonts w:hint="eastAsia"/>
        </w:rPr>
      </w:pPr>
      <w:r>
        <w:rPr>
          <w:rFonts w:hint="eastAsia"/>
        </w:rPr>
        <w:t>现场指挥部</w:t>
      </w:r>
      <w:r>
        <w:rPr>
          <w:rFonts w:hint="eastAsia"/>
        </w:rPr>
        <w:tab/>
      </w:r>
      <w:r>
        <w:rPr>
          <w:rFonts w:hint="eastAsia"/>
        </w:rPr>
        <w:t>划定火场范围、制定扑火方案、指挥一线作业（配备北斗指挥终端）</w:t>
      </w:r>
      <w:r>
        <w:rPr>
          <w:rFonts w:hint="eastAsia"/>
        </w:rPr>
        <w:tab/>
      </w:r>
      <w:r>
        <w:rPr>
          <w:rFonts w:hint="eastAsia"/>
        </w:rPr>
        <w:t>5分钟内响应</w:t>
      </w:r>
    </w:p>
    <w:p w14:paraId="75B7EA05">
      <w:pPr>
        <w:ind w:firstLine="480"/>
        <w:rPr>
          <w:rFonts w:hint="eastAsia"/>
        </w:rPr>
      </w:pPr>
      <w:r>
        <w:rPr>
          <w:rFonts w:hint="eastAsia"/>
        </w:rPr>
        <w:t>3. 日常保障措施</w:t>
      </w:r>
    </w:p>
    <w:p w14:paraId="75B7EA06">
      <w:pPr>
        <w:ind w:firstLine="480"/>
        <w:rPr>
          <w:rFonts w:hint="eastAsia"/>
        </w:rPr>
      </w:pPr>
      <w:r>
        <w:rPr>
          <w:rFonts w:hint="eastAsia"/>
        </w:rPr>
        <w:t>每月演练：模拟“通信全断+设备故障”场景，测试人工报火、纸质地图标注火情位置的效率</w:t>
      </w:r>
    </w:p>
    <w:p w14:paraId="75B7EA07">
      <w:pPr>
        <w:ind w:firstLine="480"/>
        <w:rPr>
          <w:rFonts w:hint="eastAsia"/>
        </w:rPr>
      </w:pPr>
      <w:r>
        <w:rPr>
          <w:rFonts w:hint="eastAsia"/>
        </w:rPr>
        <w:t>物资储备：在各管护站存放纸质版《森林防火应急手册》《重点林区地形图》《应急通讯录》，每季度更新一次。</w:t>
      </w:r>
    </w:p>
    <w:p w14:paraId="75B7EA08">
      <w:pPr>
        <w:pStyle w:val="4"/>
        <w:numPr>
          <w:ilvl w:val="2"/>
          <w:numId w:val="17"/>
        </w:numPr>
        <w:ind w:left="-2" w:leftChars="-4" w:hanging="7" w:hangingChars="3"/>
        <w:rPr>
          <w:rFonts w:hint="eastAsia"/>
        </w:rPr>
      </w:pPr>
      <w:bookmarkStart w:id="273" w:name="_Toc209804573"/>
      <w:bookmarkStart w:id="274" w:name="_Toc8886"/>
      <w:r>
        <w:rPr>
          <w:rFonts w:hint="eastAsia"/>
        </w:rPr>
        <w:t>技术与标准保障</w:t>
      </w:r>
      <w:bookmarkEnd w:id="273"/>
      <w:bookmarkEnd w:id="274"/>
    </w:p>
    <w:p w14:paraId="75B7EA09">
      <w:pPr>
        <w:ind w:firstLine="480"/>
        <w:rPr>
          <w:rFonts w:hint="eastAsia"/>
        </w:rPr>
      </w:pPr>
      <w:r>
        <w:rPr>
          <w:rFonts w:hint="eastAsia"/>
        </w:rPr>
        <w:t>遵循行业技术标准：在项目实施过程中，严格遵循国家和行业相关的技术标准和规范。如在数据传输和存储方面，采用符合国家标准的加密算法和安全协议，确保数据的安全性和完整性。</w:t>
      </w:r>
    </w:p>
    <w:p w14:paraId="75B7EA0A">
      <w:pPr>
        <w:ind w:firstLine="480"/>
        <w:rPr>
          <w:rFonts w:hint="eastAsia"/>
        </w:rPr>
      </w:pPr>
      <w:r>
        <w:rPr>
          <w:rFonts w:hint="eastAsia"/>
        </w:rPr>
        <w:t xml:space="preserve">持续技术创新与优化：关注 </w:t>
      </w:r>
      <w:r>
        <w:rPr>
          <w:rFonts w:hint="eastAsia"/>
          <w:lang w:val="en-US"/>
        </w:rPr>
        <w:t>模型</w:t>
      </w:r>
      <w:r>
        <w:rPr>
          <w:rFonts w:hint="eastAsia"/>
        </w:rPr>
        <w:t>技术的发展趋势，不断引入新的算法和模型，对项目的技术架构和应用进行持续优化。定期对项目的技术系统进行评估和测试，及时发现和解决技术问题，确保系统的稳定性和性能。</w:t>
      </w:r>
    </w:p>
    <w:p w14:paraId="75B7EA0B">
      <w:pPr>
        <w:ind w:firstLine="480"/>
        <w:rPr>
          <w:rFonts w:hint="eastAsia"/>
        </w:rPr>
      </w:pPr>
      <w:r>
        <w:rPr>
          <w:rFonts w:hint="eastAsia"/>
        </w:rPr>
        <w:t>技术失效时的人工保障方案如下：</w:t>
      </w:r>
    </w:p>
    <w:p w14:paraId="75B7EA0C">
      <w:pPr>
        <w:ind w:firstLine="480"/>
        <w:rPr>
          <w:rFonts w:hint="eastAsia"/>
        </w:rPr>
      </w:pPr>
      <w:r>
        <w:rPr>
          <w:rFonts w:hint="eastAsia"/>
        </w:rPr>
        <w:t>1. 火情发现与传递</w:t>
      </w:r>
    </w:p>
    <w:p w14:paraId="75B7EA0D">
      <w:pPr>
        <w:ind w:firstLine="480"/>
        <w:rPr>
          <w:rFonts w:hint="eastAsia"/>
        </w:rPr>
      </w:pPr>
      <w:r>
        <w:rPr>
          <w:rFonts w:hint="eastAsia"/>
        </w:rPr>
        <w:t>地面巡护：增加护林员巡逻频次（每2小时汇报一次），使用“口哨+信号弹”传递紧急火情（3声短哨=发现火情，红色信号弹=需支援）</w:t>
      </w:r>
    </w:p>
    <w:p w14:paraId="75B7EA0E">
      <w:pPr>
        <w:ind w:firstLine="480"/>
        <w:rPr>
          <w:rFonts w:hint="eastAsia"/>
        </w:rPr>
      </w:pPr>
      <w:r>
        <w:rPr>
          <w:rFonts w:hint="eastAsia"/>
        </w:rPr>
        <w:t>群众联动：在林区周边村庄设立“火情信息员”，发现火情后立即拨打应急电话（同步发送短信至市级指挥中心）</w:t>
      </w:r>
    </w:p>
    <w:p w14:paraId="75B7EA0F">
      <w:pPr>
        <w:ind w:firstLine="480"/>
        <w:rPr>
          <w:rFonts w:hint="eastAsia"/>
        </w:rPr>
      </w:pPr>
      <w:r>
        <w:rPr>
          <w:rFonts w:hint="eastAsia"/>
        </w:rPr>
        <w:t>2. 人工指挥与决策</w:t>
      </w:r>
    </w:p>
    <w:p w14:paraId="75B7EA10">
      <w:pPr>
        <w:ind w:firstLine="480"/>
        <w:rPr>
          <w:rFonts w:hint="eastAsia"/>
        </w:rPr>
      </w:pPr>
      <w:r>
        <w:rPr>
          <w:rFonts w:hint="eastAsia"/>
        </w:rPr>
        <w:t>手绘火情图：现场指挥员使用防水纸质地图，用不同颜色标注火场边界（红色=当前火线，黄色=潜在蔓延方向）</w:t>
      </w:r>
    </w:p>
    <w:p w14:paraId="75B7EA11">
      <w:pPr>
        <w:ind w:firstLine="480"/>
        <w:rPr>
          <w:rFonts w:hint="eastAsia"/>
        </w:rPr>
      </w:pPr>
      <w:r>
        <w:rPr>
          <w:rFonts w:hint="eastAsia"/>
        </w:rPr>
        <w:t>口令传递：采用“旗语+对讲机喊话”结合的方式，向扑火队伍下达指令（如“绿色旗帜挥动3次=向西北方向推进”）</w:t>
      </w:r>
    </w:p>
    <w:p w14:paraId="75B7EA12">
      <w:pPr>
        <w:ind w:firstLine="480"/>
        <w:rPr>
          <w:rFonts w:hint="eastAsia"/>
        </w:rPr>
      </w:pPr>
      <w:r>
        <w:rPr>
          <w:rFonts w:hint="eastAsia"/>
        </w:rPr>
        <w:t>3. 后勤与安全保障</w:t>
      </w:r>
    </w:p>
    <w:p w14:paraId="75B7EA13">
      <w:pPr>
        <w:ind w:firstLine="480"/>
        <w:rPr>
          <w:rFonts w:hint="eastAsia"/>
        </w:rPr>
      </w:pPr>
      <w:r>
        <w:rPr>
          <w:rFonts w:hint="eastAsia"/>
        </w:rPr>
        <w:t>物资运输：组织当地村民组成“人背马驮”运输队，将灭火弹、饮用水等物资运抵火场（配备向导和安全员）</w:t>
      </w:r>
    </w:p>
    <w:p w14:paraId="75B7EA14">
      <w:pPr>
        <w:ind w:firstLine="480"/>
        <w:rPr>
          <w:rFonts w:hint="eastAsia"/>
        </w:rPr>
      </w:pPr>
      <w:r>
        <w:rPr>
          <w:rFonts w:hint="eastAsia"/>
        </w:rPr>
        <w:t>医疗急救：在临时指挥部设置简易医疗点，配备烧伤药膏、止血包等应急药品，由村医负责初步救治。</w:t>
      </w:r>
    </w:p>
    <w:p w14:paraId="75B7EA15">
      <w:pPr>
        <w:pStyle w:val="4"/>
        <w:numPr>
          <w:ilvl w:val="2"/>
          <w:numId w:val="17"/>
        </w:numPr>
        <w:ind w:left="-2" w:leftChars="-4" w:hanging="7" w:hangingChars="3"/>
        <w:rPr>
          <w:rFonts w:hint="eastAsia"/>
        </w:rPr>
      </w:pPr>
      <w:bookmarkStart w:id="275" w:name="_Toc209804574"/>
      <w:bookmarkStart w:id="276" w:name="_Toc7001"/>
      <w:r>
        <w:rPr>
          <w:rFonts w:hint="eastAsia"/>
        </w:rPr>
        <w:t>过程与质量控制保障</w:t>
      </w:r>
      <w:bookmarkEnd w:id="275"/>
      <w:bookmarkEnd w:id="276"/>
    </w:p>
    <w:p w14:paraId="75B7EA16">
      <w:pPr>
        <w:ind w:firstLine="480"/>
        <w:rPr>
          <w:rFonts w:hint="eastAsia"/>
        </w:rPr>
      </w:pPr>
      <w:r>
        <w:rPr>
          <w:rFonts w:hint="eastAsia"/>
        </w:rPr>
        <w:t>制定详细项目计划：制定科学合理的项目计划，明确项目的各个阶段和关键节点，以及每个阶段的任务和目标。采用项目管理工具对项目进度进行实时监控，及时发现和解决进度偏差问题，确保项目按时交付。</w:t>
      </w:r>
    </w:p>
    <w:p w14:paraId="75B7EA17">
      <w:pPr>
        <w:ind w:firstLine="480"/>
        <w:rPr>
          <w:rFonts w:hint="eastAsia"/>
        </w:rPr>
      </w:pPr>
      <w:r>
        <w:rPr>
          <w:rFonts w:hint="eastAsia"/>
        </w:rPr>
        <w:t>严格质量检验与测试：建立严格的质量检验和测试机制，对项目的各个环节进行质量把控。在模型开发阶段，进行严格的模型训练和评估，确保模型的性能符合要求。在应用开发阶段，进行功能测试、性能测试、安全测试等，确保应用的稳定性和可靠性。对测试过程中发现的问题，及时进行整改和优化。</w:t>
      </w:r>
    </w:p>
    <w:p w14:paraId="75B7EA18">
      <w:pPr>
        <w:pStyle w:val="4"/>
        <w:numPr>
          <w:ilvl w:val="2"/>
          <w:numId w:val="17"/>
        </w:numPr>
        <w:ind w:left="-2" w:leftChars="-4" w:hanging="7" w:hangingChars="3"/>
        <w:rPr>
          <w:rFonts w:hint="eastAsia"/>
        </w:rPr>
      </w:pPr>
      <w:bookmarkStart w:id="277" w:name="_Toc209804575"/>
      <w:bookmarkStart w:id="278" w:name="_Toc10169"/>
      <w:r>
        <w:rPr>
          <w:rFonts w:hint="eastAsia"/>
        </w:rPr>
        <w:t>数据与安全保障</w:t>
      </w:r>
      <w:bookmarkEnd w:id="277"/>
      <w:bookmarkEnd w:id="278"/>
    </w:p>
    <w:p w14:paraId="75B7EA19">
      <w:pPr>
        <w:ind w:firstLine="480"/>
        <w:rPr>
          <w:rFonts w:hint="eastAsia"/>
        </w:rPr>
      </w:pPr>
      <w:r>
        <w:rPr>
          <w:rFonts w:hint="eastAsia"/>
        </w:rPr>
        <w:t>数据质量管理：加强对政务数据的质量管理，建立数据采集、存储、处理和使用的规范流程。对数据进行清洗、验证和整合，确保数据的准确性、一致性和完整性。定期对数据质量进行评估和监控，及时发现和解决数据质量问题。</w:t>
      </w:r>
    </w:p>
    <w:p w14:paraId="75B7EA1A">
      <w:pPr>
        <w:ind w:firstLine="480"/>
        <w:rPr>
          <w:rFonts w:hint="eastAsia"/>
        </w:rPr>
      </w:pPr>
      <w:r>
        <w:rPr>
          <w:rFonts w:hint="eastAsia"/>
        </w:rPr>
        <w:t>数据安全保护：建立完善的数据安全保护体系，采用多种安全技术和措施，保障数据的安全性。如对敏感数据进行加密处理，设置严格的访问权限控制，定期进行数据备份和恢复演练等。加强对数据安全的管理和监督，制定数据安全应急预案，及时应对数据安全事件。</w:t>
      </w:r>
    </w:p>
    <w:p w14:paraId="75B7EA1B">
      <w:pPr>
        <w:pStyle w:val="4"/>
        <w:numPr>
          <w:ilvl w:val="2"/>
          <w:numId w:val="17"/>
        </w:numPr>
        <w:ind w:left="-2" w:leftChars="-4" w:hanging="7" w:hangingChars="3"/>
        <w:rPr>
          <w:rFonts w:hint="eastAsia"/>
        </w:rPr>
      </w:pPr>
      <w:bookmarkStart w:id="279" w:name="_Toc209804576"/>
      <w:bookmarkStart w:id="280" w:name="_Toc13621"/>
      <w:r>
        <w:rPr>
          <w:rFonts w:hint="eastAsia"/>
        </w:rPr>
        <w:t>风险与应急保障</w:t>
      </w:r>
      <w:bookmarkEnd w:id="279"/>
      <w:bookmarkEnd w:id="280"/>
    </w:p>
    <w:p w14:paraId="75B7EA1C">
      <w:pPr>
        <w:ind w:firstLine="480"/>
        <w:rPr>
          <w:rFonts w:hint="eastAsia"/>
        </w:rPr>
      </w:pPr>
      <w:r>
        <w:rPr>
          <w:rFonts w:hint="eastAsia"/>
        </w:rPr>
        <w:t>风险识别与评估：对项目实施过程中可能面临的风险进行全面识别和评估，包括技术风险、市场风险、政策风险等。制定风险应对策略，针对不同的风险采取相应的措施，降低风险对项目的影响。</w:t>
      </w:r>
    </w:p>
    <w:p w14:paraId="75B7EA1D">
      <w:pPr>
        <w:ind w:firstLine="480"/>
        <w:rPr>
          <w:rFonts w:hint="eastAsia"/>
        </w:rPr>
      </w:pPr>
      <w:r>
        <w:rPr>
          <w:rFonts w:hint="eastAsia"/>
        </w:rPr>
        <w:t>应急响应机制：建立应急响应机制，制定应急预案，明确应急处理流程和责任分工。在遇到突发情况时，能够迅速启动应急预案，采取有效的措施进行处理，确保项目的正常运行。定期对应急预案进行演练和评估，提高应急处理能力。</w:t>
      </w:r>
    </w:p>
    <w:p w14:paraId="75B7EA1E">
      <w:pPr>
        <w:pStyle w:val="4"/>
        <w:numPr>
          <w:ilvl w:val="2"/>
          <w:numId w:val="17"/>
        </w:numPr>
        <w:ind w:left="-2" w:leftChars="-4" w:hanging="7" w:hangingChars="3"/>
        <w:rPr>
          <w:rFonts w:hint="eastAsia"/>
        </w:rPr>
      </w:pPr>
      <w:bookmarkStart w:id="281" w:name="_Toc209804577"/>
      <w:bookmarkStart w:id="282" w:name="_Toc29850"/>
      <w:r>
        <w:rPr>
          <w:rFonts w:hint="eastAsia"/>
        </w:rPr>
        <w:t>验收与评估保障</w:t>
      </w:r>
      <w:bookmarkEnd w:id="281"/>
      <w:bookmarkEnd w:id="282"/>
    </w:p>
    <w:p w14:paraId="75B7EA1F">
      <w:pPr>
        <w:ind w:firstLine="480"/>
        <w:rPr>
          <w:rFonts w:hint="eastAsia"/>
        </w:rPr>
      </w:pPr>
      <w:r>
        <w:rPr>
          <w:rFonts w:hint="eastAsia"/>
        </w:rPr>
        <w:t>严格项目验收：项目完成后，按照预先制定的验收标准和流程进行严格的验收。组织专业的验收团队，对项目的技术指标、功能实现、性能表现等进行全面检查和评估。只有在项目达到验收标准后，才能正式交付使用。</w:t>
      </w:r>
    </w:p>
    <w:p w14:paraId="75B7EA20">
      <w:pPr>
        <w:ind w:firstLine="480"/>
        <w:rPr>
          <w:rFonts w:hint="eastAsia"/>
        </w:rPr>
      </w:pPr>
      <w:r>
        <w:rPr>
          <w:rFonts w:hint="eastAsia"/>
        </w:rPr>
        <w:t>定期评估与改进：建立项目评估机制，定期对项目的运行效果、经济效益和社会效益进行评估。根据评估结果，总结经验教训，发现存在的问题和不足，及时进行改进。不断完善项目的质量保障体系，提高项目的质量和效益。</w:t>
      </w:r>
    </w:p>
    <w:p w14:paraId="75B7EA21">
      <w:pPr>
        <w:pStyle w:val="2"/>
        <w:numPr>
          <w:ilvl w:val="0"/>
          <w:numId w:val="17"/>
        </w:numPr>
        <w:rPr>
          <w:rFonts w:hint="eastAsia"/>
          <w:lang w:val="en-US"/>
        </w:rPr>
      </w:pPr>
      <w:bookmarkStart w:id="283" w:name="_Toc16329"/>
      <w:r>
        <w:rPr>
          <w:rFonts w:hint="eastAsia"/>
          <w:lang w:val="en-US"/>
        </w:rPr>
        <w:t>效益与风险分析</w:t>
      </w:r>
      <w:bookmarkEnd w:id="283"/>
    </w:p>
    <w:p w14:paraId="75B7EA22">
      <w:pPr>
        <w:pStyle w:val="3"/>
        <w:numPr>
          <w:ilvl w:val="1"/>
          <w:numId w:val="17"/>
        </w:numPr>
        <w:rPr>
          <w:lang w:val="en-US"/>
        </w:rPr>
      </w:pPr>
      <w:bookmarkStart w:id="284" w:name="_Toc16211"/>
      <w:r>
        <w:rPr>
          <w:rFonts w:hint="eastAsia"/>
          <w:lang w:val="en-US"/>
        </w:rPr>
        <w:t>项目的经济效益和社会效益分析</w:t>
      </w:r>
      <w:bookmarkEnd w:id="284"/>
    </w:p>
    <w:p w14:paraId="75B7EA23">
      <w:pPr>
        <w:pStyle w:val="4"/>
        <w:numPr>
          <w:ilvl w:val="2"/>
          <w:numId w:val="17"/>
        </w:numPr>
        <w:rPr>
          <w:rFonts w:hint="eastAsia"/>
        </w:rPr>
      </w:pPr>
      <w:bookmarkStart w:id="285" w:name="_Toc26080"/>
      <w:r>
        <w:t>社会效益分析</w:t>
      </w:r>
      <w:bookmarkEnd w:id="285"/>
    </w:p>
    <w:p w14:paraId="75B7EA24">
      <w:pPr>
        <w:ind w:firstLine="480"/>
        <w:rPr>
          <w:rFonts w:hint="eastAsia"/>
        </w:rPr>
      </w:pPr>
      <w:r>
        <w:rPr>
          <w:rFonts w:hint="eastAsia"/>
        </w:rPr>
        <w:t>（1）生物多样性、种质资源保护效益</w:t>
      </w:r>
    </w:p>
    <w:p w14:paraId="75B7EA25">
      <w:pPr>
        <w:ind w:firstLine="480"/>
        <w:rPr>
          <w:rFonts w:hint="eastAsia"/>
        </w:rPr>
      </w:pPr>
      <w:r>
        <w:rPr>
          <w:rFonts w:hint="eastAsia"/>
        </w:rPr>
        <w:t>项目建成后，将极大提高岳阳市森林防火能力，提高森林火灾扑救能力，减少森林火灾发生次数及森林火灾造成的损失，有效地保护森林资源和生态环境，为动植物尤其是国家重点保护珍稀植物提供良好的环境，对保护生物多样性、维持项目区的生态平衡将发挥重要作用。</w:t>
      </w:r>
    </w:p>
    <w:p w14:paraId="75B7EA26">
      <w:pPr>
        <w:ind w:firstLine="480"/>
        <w:rPr>
          <w:rFonts w:hint="eastAsia"/>
        </w:rPr>
      </w:pPr>
      <w:r>
        <w:rPr>
          <w:rFonts w:hint="eastAsia"/>
        </w:rPr>
        <w:t>（2）水土保持、水源涵养效益</w:t>
      </w:r>
    </w:p>
    <w:p w14:paraId="75B7EA27">
      <w:pPr>
        <w:ind w:firstLine="480"/>
        <w:rPr>
          <w:rFonts w:hint="eastAsia"/>
        </w:rPr>
      </w:pPr>
      <w:r>
        <w:rPr>
          <w:rFonts w:hint="eastAsia"/>
        </w:rPr>
        <w:t>项目区为湖南省重点林区，具有重要的生态价值，森林的水源涵养、水土保护、净化空气作用非常明显。项目的实施，可以更进一步促进森林资源的保护、演替和更新，从而大大提高森林涵养水源，保持水土的能力，保护自然生态环境。</w:t>
      </w:r>
    </w:p>
    <w:p w14:paraId="75B7EA28">
      <w:pPr>
        <w:ind w:firstLine="480"/>
        <w:rPr>
          <w:rFonts w:hint="eastAsia"/>
        </w:rPr>
      </w:pPr>
      <w:r>
        <w:rPr>
          <w:rFonts w:hint="eastAsia"/>
        </w:rPr>
        <w:t>（3）空气净化效益</w:t>
      </w:r>
    </w:p>
    <w:p w14:paraId="75B7EA29">
      <w:pPr>
        <w:ind w:firstLine="480"/>
        <w:rPr>
          <w:rFonts w:hint="eastAsia"/>
        </w:rPr>
      </w:pPr>
      <w:r>
        <w:rPr>
          <w:rFonts w:hint="eastAsia"/>
        </w:rPr>
        <w:t>据有关研究，每公顷森林每天可吸收 1000kg 二氧化碳，产生 750kg的氧气，每天可吸附灰尘 35t。另外森林还可吸收氯气、氟化氢、二氧化硫及汞、铅蒸气等有害气体。由于有了森林的作用，每年可大量减少有害气体在空气中的比例。因此，保护好森林资源，对于净化项目区的空气，提高项目区及周边地区的生态环境整体质量具有十分重要的作用。</w:t>
      </w:r>
    </w:p>
    <w:p w14:paraId="75B7EA2A">
      <w:pPr>
        <w:ind w:firstLine="480"/>
        <w:rPr>
          <w:rFonts w:hint="eastAsia"/>
        </w:rPr>
      </w:pPr>
      <w:r>
        <w:rPr>
          <w:rFonts w:hint="eastAsia"/>
        </w:rPr>
        <w:t>（</w:t>
      </w:r>
      <w:r>
        <w:rPr>
          <w:rFonts w:hint="eastAsia"/>
          <w:lang w:val="en-US"/>
        </w:rPr>
        <w:t>4</w:t>
      </w:r>
      <w:r>
        <w:rPr>
          <w:rFonts w:hint="eastAsia"/>
        </w:rPr>
        <w:t>）增强公众保护森林意识，促进生态文明建设</w:t>
      </w:r>
    </w:p>
    <w:p w14:paraId="75B7EA2B">
      <w:pPr>
        <w:ind w:firstLine="480"/>
        <w:rPr>
          <w:rFonts w:hint="eastAsia"/>
        </w:rPr>
      </w:pPr>
      <w:r>
        <w:rPr>
          <w:rFonts w:hint="eastAsia"/>
        </w:rPr>
        <w:t>项目的建设，将有利于增强公众对森林的保护意识，对于森林旅游资源、 自然风景资源的保护将起到重要作用，同时对于项目区乃至全省的生态文明建设和对外开放也将产生积极影响。</w:t>
      </w:r>
    </w:p>
    <w:p w14:paraId="75B7EA2C">
      <w:pPr>
        <w:ind w:firstLine="480"/>
        <w:rPr>
          <w:rFonts w:hint="eastAsia"/>
        </w:rPr>
      </w:pPr>
      <w:r>
        <w:rPr>
          <w:rFonts w:hint="eastAsia"/>
        </w:rPr>
        <w:t>（</w:t>
      </w:r>
      <w:r>
        <w:rPr>
          <w:rFonts w:hint="eastAsia"/>
          <w:lang w:val="en-US"/>
        </w:rPr>
        <w:t>5</w:t>
      </w:r>
      <w:r>
        <w:rPr>
          <w:rFonts w:hint="eastAsia"/>
        </w:rPr>
        <w:t>）提高森林防火的科技含量，促进项目区经济可持续发展</w:t>
      </w:r>
    </w:p>
    <w:p w14:paraId="75B7EA2D">
      <w:pPr>
        <w:ind w:firstLine="480"/>
        <w:rPr>
          <w:rFonts w:hint="eastAsia"/>
        </w:rPr>
      </w:pPr>
      <w:r>
        <w:rPr>
          <w:rFonts w:hint="eastAsia"/>
        </w:rPr>
        <w:t>项目建设是增加森林防火灭火的科技含量、进一步改善森林防火扑火手段，大大提高扑救森林火灾的战斗力，明显减少森林火灾损失，有效保护森林资源和林区人民生命财产安全，巩固造林绿化成果，有力地推动项目区的生态文明建设事业迈向新的台阶。</w:t>
      </w:r>
    </w:p>
    <w:p w14:paraId="75B7EA2E">
      <w:pPr>
        <w:pStyle w:val="4"/>
        <w:numPr>
          <w:ilvl w:val="2"/>
          <w:numId w:val="17"/>
        </w:numPr>
        <w:rPr>
          <w:rFonts w:hint="eastAsia"/>
        </w:rPr>
      </w:pPr>
      <w:bookmarkStart w:id="286" w:name="_Toc26987"/>
      <w:r>
        <w:t>经济效益分析</w:t>
      </w:r>
      <w:bookmarkEnd w:id="286"/>
    </w:p>
    <w:p w14:paraId="75B7EA2F">
      <w:pPr>
        <w:ind w:firstLine="480"/>
        <w:rPr>
          <w:rFonts w:hint="eastAsia"/>
        </w:rPr>
      </w:pPr>
      <w:r>
        <w:rPr>
          <w:rFonts w:hint="eastAsia"/>
        </w:rPr>
        <w:t>（</w:t>
      </w:r>
      <w:r>
        <w:rPr>
          <w:rFonts w:hint="eastAsia"/>
          <w:lang w:val="en-US"/>
        </w:rPr>
        <w:t>1</w:t>
      </w:r>
      <w:r>
        <w:rPr>
          <w:rFonts w:hint="eastAsia"/>
        </w:rPr>
        <w:t>）减灾效益</w:t>
      </w:r>
    </w:p>
    <w:p w14:paraId="75B7EA30">
      <w:pPr>
        <w:ind w:firstLine="480"/>
        <w:rPr>
          <w:rFonts w:hint="eastAsia"/>
        </w:rPr>
      </w:pPr>
      <w:r>
        <w:rPr>
          <w:rFonts w:hint="eastAsia"/>
        </w:rPr>
        <w:t>项目成功实施后，项目区内森林防火的扑救能力将明显提高，森林火灾及由此造成的损失将显著减少，能有效减少火灾扑救支出。</w:t>
      </w:r>
    </w:p>
    <w:p w14:paraId="75B7EA31">
      <w:pPr>
        <w:ind w:firstLine="480"/>
        <w:rPr>
          <w:rFonts w:hint="eastAsia"/>
        </w:rPr>
      </w:pPr>
      <w:r>
        <w:rPr>
          <w:rFonts w:hint="eastAsia"/>
        </w:rPr>
        <w:t>项目通过完善基础设施、升级装备、强化队伍建设，可显著降低火灾发生概率和过火面积，直接减少以下损失：林木资源损失：岳阳市活立木总蓄积2546.75万立方米，若按近年森林火灾平均过火率（假设未治理前高风险区年均过火面积约500公顷，蓄积损失率20%）计算，项目建成后可将过火面积减少50%—70%，仅林木蓄积损失即可减少约25万—35万立方米（按每立方米木材市场价800元计，直接挽回经济损失2亿—2.8亿元/年）。</w:t>
      </w:r>
    </w:p>
    <w:p w14:paraId="75B7EA32">
      <w:pPr>
        <w:ind w:firstLine="480"/>
        <w:rPr>
          <w:rFonts w:hint="eastAsia"/>
        </w:rPr>
      </w:pPr>
      <w:r>
        <w:rPr>
          <w:rFonts w:hint="eastAsia"/>
        </w:rPr>
        <w:t>设施与财产损毁：项目区涉及云溪区等化工企业与森林交错地带，火灾可能引发化工厂爆炸、管线损毁等次生灾害。项目通过强化隔离带建设和应急联动机制，可降低此类次生灾害概率，避免数亿至数十亿元的工业设施损毁及停产损失。</w:t>
      </w:r>
    </w:p>
    <w:p w14:paraId="75B7EA33">
      <w:pPr>
        <w:ind w:firstLine="480"/>
        <w:rPr>
          <w:rFonts w:hint="eastAsia"/>
        </w:rPr>
      </w:pPr>
      <w:r>
        <w:rPr>
          <w:rFonts w:hint="eastAsia"/>
        </w:rPr>
        <w:t>人员伤亡赔偿：历史案例显示，重特大火灾常伴随人员伤亡。项目通过提升早期预警和快速扑救能力，可减少人员伤亡，降低抚恤金、医疗救援等支出（以单次事故人均赔偿约100万元计，每年可减少潜在损失数千万元）。</w:t>
      </w:r>
    </w:p>
    <w:p w14:paraId="75B7EA34">
      <w:pPr>
        <w:ind w:firstLine="480"/>
        <w:rPr>
          <w:rFonts w:hint="eastAsia"/>
        </w:rPr>
      </w:pPr>
      <w:r>
        <w:rPr>
          <w:rFonts w:hint="eastAsia"/>
        </w:rPr>
        <w:t>（</w:t>
      </w:r>
      <w:r>
        <w:rPr>
          <w:rFonts w:hint="eastAsia"/>
          <w:lang w:val="en-US"/>
        </w:rPr>
        <w:t>2</w:t>
      </w:r>
      <w:r>
        <w:rPr>
          <w:rFonts w:hint="eastAsia"/>
        </w:rPr>
        <w:t>）旅游效益</w:t>
      </w:r>
    </w:p>
    <w:p w14:paraId="75B7EA35">
      <w:pPr>
        <w:ind w:firstLine="480"/>
        <w:rPr>
          <w:rFonts w:hint="eastAsia"/>
        </w:rPr>
      </w:pPr>
      <w:r>
        <w:rPr>
          <w:rFonts w:hint="eastAsia"/>
        </w:rPr>
        <w:t>项目建成后森林资源将得到有效保护，生态旅游环境质量将大为改善，将吸引更多的游客前来项目区旅游观光以及投资者投资，促进旅游业的发展，经济效益日益显著。森林是重要的生态资产，项目通过减少火灾对森林的破坏，可保护和提升其生态服务功能，转化为经济价值：</w:t>
      </w:r>
    </w:p>
    <w:p w14:paraId="75B7EA36">
      <w:pPr>
        <w:ind w:firstLine="480"/>
        <w:rPr>
          <w:rFonts w:hint="eastAsia"/>
        </w:rPr>
      </w:pPr>
      <w:r>
        <w:rPr>
          <w:rFonts w:hint="eastAsia"/>
        </w:rPr>
        <w:t>固碳释氧价值：岳阳市森林覆盖率45.32%，按每公顷森林年固碳量约5吨、释氧量3.6吨计算，项目保护森林面积（如项目区覆盖约55万公顷林地中的高风险部分），年固碳释氧价值可达数亿元（按碳交易价格50元/吨、氧气价值100元/吨估算）。</w:t>
      </w:r>
    </w:p>
    <w:p w14:paraId="75B7EA37">
      <w:pPr>
        <w:ind w:firstLine="480"/>
        <w:rPr>
          <w:rFonts w:hint="eastAsia"/>
        </w:rPr>
      </w:pPr>
      <w:r>
        <w:rPr>
          <w:rFonts w:hint="eastAsia"/>
        </w:rPr>
        <w:t>水土保持与水源涵养：森林可减少水土流失，降低河道清淤成本。项目区林地面积55.26万公顷，若火灾导致土壤侵蚀量增加1倍，治理成本将显著上升；项目建成后，可维持现有水土保持能力，年节约治理费用超千万元。</w:t>
      </w:r>
    </w:p>
    <w:p w14:paraId="75B7EA38">
      <w:pPr>
        <w:ind w:firstLine="480"/>
        <w:rPr>
          <w:rFonts w:hint="eastAsia"/>
        </w:rPr>
      </w:pPr>
      <w:r>
        <w:rPr>
          <w:rFonts w:hint="eastAsia"/>
        </w:rPr>
        <w:t>生物多样性保护：项目区针阔混交林分布集中，火灾可能破坏珍稀物种栖息地。保护生物多样性可避免因生态退化导致的生态旅游价值流失（如鸟类观测、自然教育基地等）。</w:t>
      </w:r>
    </w:p>
    <w:p w14:paraId="75B7EA39">
      <w:pPr>
        <w:ind w:firstLine="480"/>
        <w:rPr>
          <w:rFonts w:hint="eastAsia"/>
        </w:rPr>
      </w:pPr>
      <w:r>
        <w:rPr>
          <w:rFonts w:hint="eastAsia"/>
        </w:rPr>
        <w:t>项目通过降低火灾风险，为林业产业提供稳定发展空间，带动经济增长：</w:t>
      </w:r>
    </w:p>
    <w:p w14:paraId="75B7EA3A">
      <w:pPr>
        <w:ind w:firstLine="480"/>
        <w:rPr>
          <w:rFonts w:hint="eastAsia"/>
        </w:rPr>
      </w:pPr>
      <w:r>
        <w:rPr>
          <w:rFonts w:hint="eastAsia"/>
        </w:rPr>
        <w:t>林下经济：岳阳市林下种植规模扩大（如药材、食用菌），火灾风险降低后，农户和企业可扩大种植规模，预计年新增产值数千万元。</w:t>
      </w:r>
    </w:p>
    <w:p w14:paraId="75B7EA3B">
      <w:pPr>
        <w:ind w:firstLine="480"/>
        <w:rPr>
          <w:rFonts w:hint="eastAsia"/>
        </w:rPr>
      </w:pPr>
      <w:r>
        <w:rPr>
          <w:rFonts w:hint="eastAsia"/>
        </w:rPr>
        <w:t>森林旅游与康养：项目区森林旅游资源（如平江、临湘景区）因火灾风险下降，游客信心和停留时间增加，预计年游客量增长10%—15%，带动餐饮、住宿等关联产业增收超亿元。</w:t>
      </w:r>
    </w:p>
    <w:p w14:paraId="75B7EA3C">
      <w:pPr>
        <w:ind w:firstLine="480"/>
        <w:rPr>
          <w:rFonts w:hint="eastAsia"/>
        </w:rPr>
      </w:pPr>
      <w:r>
        <w:rPr>
          <w:rFonts w:hint="eastAsia"/>
        </w:rPr>
        <w:t>救灾成本降低：火灾扑救需投入大量人力、物力（如直升机洒水、消防队伍驻防）。项目建成后，早期火情处置效率提升，可减少大规模扑救行动，年节约救灾财政支出数百万元。</w:t>
      </w:r>
    </w:p>
    <w:p w14:paraId="75B7EA3D">
      <w:pPr>
        <w:ind w:firstLine="480"/>
        <w:rPr>
          <w:rFonts w:hint="eastAsia"/>
        </w:rPr>
      </w:pPr>
      <w:r>
        <w:rPr>
          <w:rFonts w:hint="eastAsia"/>
        </w:rPr>
        <w:t>保险费率优化：森林火灾风险降低后，林业企业、景区等投保主体的火灾险费率可能下调（通常风险降低可使费率下降20%—30%），减轻企业负担。</w:t>
      </w:r>
    </w:p>
    <w:p w14:paraId="75B7EA3E">
      <w:pPr>
        <w:ind w:firstLine="480"/>
        <w:rPr>
          <w:rFonts w:hint="eastAsia"/>
        </w:rPr>
      </w:pPr>
      <w:r>
        <w:rPr>
          <w:rFonts w:hint="eastAsia"/>
        </w:rPr>
        <w:t>项目通过改善生态和投资环境，吸引绿色产业（如生态旅游综合体、低碳工业）落地，提升区域土地价值（如森林周边土地因生态优势增值），并带动防火技术研发、设备制造等配套产业发展，创造就业岗位（如专业扑火员、监测员、培训师），年新增就业数百人，增加地方税收。</w:t>
      </w:r>
    </w:p>
    <w:p w14:paraId="75B7EA3F">
      <w:pPr>
        <w:pStyle w:val="3"/>
        <w:numPr>
          <w:ilvl w:val="1"/>
          <w:numId w:val="17"/>
        </w:numPr>
        <w:rPr>
          <w:lang w:val="en-US"/>
        </w:rPr>
      </w:pPr>
      <w:bookmarkStart w:id="287" w:name="_Toc1317"/>
      <w:r>
        <w:rPr>
          <w:rFonts w:hint="eastAsia"/>
          <w:lang w:val="en-US"/>
        </w:rPr>
        <w:t>项目风险与风险对策</w:t>
      </w:r>
      <w:bookmarkEnd w:id="287"/>
    </w:p>
    <w:p w14:paraId="75B7EA40">
      <w:pPr>
        <w:pStyle w:val="4"/>
        <w:numPr>
          <w:ilvl w:val="2"/>
          <w:numId w:val="17"/>
        </w:numPr>
        <w:rPr>
          <w:rFonts w:hint="eastAsia"/>
        </w:rPr>
      </w:pPr>
      <w:bookmarkStart w:id="288" w:name="_Toc23322"/>
      <w:r>
        <w:rPr>
          <w:rFonts w:hint="eastAsia"/>
        </w:rPr>
        <w:t>风险识别和分析</w:t>
      </w:r>
      <w:bookmarkEnd w:id="288"/>
    </w:p>
    <w:p w14:paraId="75B7EA41">
      <w:pPr>
        <w:pStyle w:val="5"/>
        <w:numPr>
          <w:ilvl w:val="3"/>
          <w:numId w:val="17"/>
        </w:numPr>
        <w:rPr>
          <w:lang w:val="en-US"/>
        </w:rPr>
      </w:pPr>
      <w:r>
        <w:rPr>
          <w:rFonts w:hint="eastAsia"/>
        </w:rPr>
        <w:t>技术风险</w:t>
      </w:r>
    </w:p>
    <w:p w14:paraId="75B7EA42">
      <w:pPr>
        <w:ind w:firstLine="480"/>
        <w:rPr>
          <w:rFonts w:hint="eastAsia"/>
          <w:lang w:val="en-US"/>
        </w:rPr>
      </w:pPr>
      <w:r>
        <w:rPr>
          <w:rFonts w:hint="eastAsia"/>
          <w:lang w:val="en-US"/>
        </w:rPr>
        <w:t>1. AI算法识别准确率不足：现有系统存在算法误报率高的问题，新引入的大模型算法在复杂环境（如雾天、夜间）中可能仍存在识别偏差，导致预警信息漏报或误报，影响工作开展。</w:t>
      </w:r>
    </w:p>
    <w:p w14:paraId="75B7EA43">
      <w:pPr>
        <w:ind w:firstLine="480"/>
        <w:rPr>
          <w:rFonts w:hint="eastAsia"/>
          <w:lang w:val="en-US"/>
        </w:rPr>
      </w:pPr>
      <w:r>
        <w:rPr>
          <w:rFonts w:hint="eastAsia"/>
          <w:lang w:val="en-US"/>
        </w:rPr>
        <w:t>2. 设备适配性问题：新增的前端视频监控等设备与现有平台兼容性不足，可能出现数据传输延迟、接口不匹配等问题，影响系统整体运行。</w:t>
      </w:r>
    </w:p>
    <w:p w14:paraId="75B7EA44">
      <w:pPr>
        <w:ind w:firstLine="480"/>
        <w:rPr>
          <w:rFonts w:hint="eastAsia"/>
          <w:lang w:val="en-US"/>
        </w:rPr>
      </w:pPr>
      <w:r>
        <w:rPr>
          <w:rFonts w:hint="eastAsia"/>
          <w:lang w:val="en-US"/>
        </w:rPr>
        <w:t>3. 无人机运行稳定性风险：无人机在恶劣天气（大风、暴雨、浓雾）下可能无法正常作业，电池续航能力不足，自动起降、充电功能可能出现故障，导致巡查中断。</w:t>
      </w:r>
    </w:p>
    <w:p w14:paraId="75B7EA45">
      <w:pPr>
        <w:ind w:firstLine="480"/>
        <w:rPr>
          <w:rFonts w:hint="eastAsia"/>
          <w:lang w:val="en-US"/>
        </w:rPr>
      </w:pPr>
      <w:r>
        <w:rPr>
          <w:rFonts w:hint="eastAsia"/>
          <w:lang w:val="en-US"/>
        </w:rPr>
        <w:t>4. 监控设备性能缺陷：部分区域因距离远、光线差，设备可能出现“看不清、看不到”的情况，如热成像设备夜间成像模糊等。</w:t>
      </w:r>
    </w:p>
    <w:p w14:paraId="75B7EA46">
      <w:pPr>
        <w:pStyle w:val="5"/>
        <w:numPr>
          <w:ilvl w:val="3"/>
          <w:numId w:val="17"/>
        </w:numPr>
      </w:pPr>
      <w:r>
        <w:rPr>
          <w:rFonts w:hint="eastAsia"/>
        </w:rPr>
        <w:t>系统整合风险</w:t>
      </w:r>
    </w:p>
    <w:p w14:paraId="75B7EA47">
      <w:pPr>
        <w:ind w:firstLine="480"/>
        <w:rPr>
          <w:rFonts w:hint="eastAsia"/>
          <w:lang w:val="en-US"/>
        </w:rPr>
      </w:pPr>
      <w:r>
        <w:rPr>
          <w:rFonts w:hint="eastAsia"/>
          <w:lang w:val="en-US"/>
        </w:rPr>
        <w:t>1. 数据整合难度大：需整合现有多源数据，可能存在数据格式不统一、标准不一致的问题，导致数据共享困难。</w:t>
      </w:r>
    </w:p>
    <w:p w14:paraId="75B7EA48">
      <w:pPr>
        <w:ind w:firstLine="480"/>
        <w:rPr>
          <w:rFonts w:hint="eastAsia"/>
          <w:lang w:val="en-US"/>
        </w:rPr>
      </w:pPr>
      <w:r>
        <w:rPr>
          <w:rFonts w:hint="eastAsia"/>
          <w:lang w:val="en-US"/>
        </w:rPr>
        <w:t>2. 市县两级平台协同不畅：市级与区县平台通过电子政务外网交互，可能因网络带宽不足、权限划分不合理，导致数据级联延迟或信息孤岛。</w:t>
      </w:r>
    </w:p>
    <w:p w14:paraId="75B7EA49">
      <w:pPr>
        <w:ind w:firstLine="480"/>
        <w:rPr>
          <w:rFonts w:hint="eastAsia"/>
          <w:lang w:val="en-US"/>
        </w:rPr>
      </w:pPr>
      <w:r>
        <w:rPr>
          <w:rFonts w:hint="eastAsia"/>
          <w:lang w:val="en-US"/>
        </w:rPr>
        <w:t>3. 新旧系统冲突：区县监控设备与新增设备的接入可能引发系统负载过高、功能冲突，影响平台稳定性。</w:t>
      </w:r>
    </w:p>
    <w:p w14:paraId="75B7EA4A">
      <w:pPr>
        <w:pStyle w:val="5"/>
        <w:numPr>
          <w:ilvl w:val="3"/>
          <w:numId w:val="17"/>
        </w:numPr>
      </w:pPr>
      <w:r>
        <w:rPr>
          <w:rFonts w:hint="eastAsia"/>
        </w:rPr>
        <w:t>施工与部署风险</w:t>
      </w:r>
    </w:p>
    <w:p w14:paraId="75B7EA4B">
      <w:pPr>
        <w:ind w:firstLine="480"/>
        <w:rPr>
          <w:rFonts w:hint="eastAsia"/>
          <w:lang w:val="en-US"/>
        </w:rPr>
      </w:pPr>
      <w:r>
        <w:rPr>
          <w:rFonts w:hint="eastAsia"/>
          <w:lang w:val="en-US"/>
        </w:rPr>
        <w:t>1. 点位安装条件受限：部分点位安装监控设备时，面临作业难度大、协调部门多等问题，可能导致工期延误。</w:t>
      </w:r>
    </w:p>
    <w:p w14:paraId="75B7EA4C">
      <w:pPr>
        <w:ind w:firstLine="480"/>
        <w:rPr>
          <w:rFonts w:hint="eastAsia"/>
          <w:lang w:val="en-US"/>
        </w:rPr>
      </w:pPr>
      <w:r>
        <w:rPr>
          <w:rFonts w:hint="eastAsia"/>
          <w:lang w:val="en-US"/>
        </w:rPr>
        <w:t>2. 取电与网络覆盖不足：部分偏远区域取电困难，4G/5G信号弱，可能影响设备正常运行和数据传输。</w:t>
      </w:r>
    </w:p>
    <w:p w14:paraId="75B7EA4D">
      <w:pPr>
        <w:ind w:firstLine="480"/>
        <w:rPr>
          <w:rFonts w:hint="eastAsia"/>
          <w:lang w:val="en-US"/>
        </w:rPr>
      </w:pPr>
      <w:r>
        <w:rPr>
          <w:rFonts w:hint="eastAsia"/>
          <w:lang w:val="en-US"/>
        </w:rPr>
        <w:t>3. 环境破坏风险：施工过程中可能对生态环境造成局部破坏，如植被砍伐、土壤扰动等，引发环保合规问题。</w:t>
      </w:r>
    </w:p>
    <w:p w14:paraId="75B7EA4E">
      <w:pPr>
        <w:pStyle w:val="5"/>
        <w:numPr>
          <w:ilvl w:val="3"/>
          <w:numId w:val="17"/>
        </w:numPr>
      </w:pPr>
      <w:r>
        <w:rPr>
          <w:rFonts w:hint="eastAsia"/>
        </w:rPr>
        <w:t>数据安全与合规风险</w:t>
      </w:r>
    </w:p>
    <w:p w14:paraId="75B7EA4F">
      <w:pPr>
        <w:ind w:firstLine="480"/>
        <w:rPr>
          <w:rFonts w:hint="eastAsia"/>
          <w:lang w:val="en-US"/>
        </w:rPr>
      </w:pPr>
      <w:r>
        <w:rPr>
          <w:rFonts w:hint="eastAsia"/>
          <w:lang w:val="en-US"/>
        </w:rPr>
        <w:t>1. 隐私数据泄露：系统抓拍的人脸、车辆信息属于敏感数据，若存储或传输环节防护不足，可能导致数据泄露，违反《个人信息保护法》。</w:t>
      </w:r>
    </w:p>
    <w:p w14:paraId="75B7EA50">
      <w:pPr>
        <w:ind w:firstLine="480"/>
        <w:rPr>
          <w:rFonts w:hint="eastAsia"/>
          <w:lang w:val="en-US"/>
        </w:rPr>
      </w:pPr>
      <w:r>
        <w:rPr>
          <w:rFonts w:hint="eastAsia"/>
          <w:lang w:val="en-US"/>
        </w:rPr>
        <w:t>2. 数据共享风险：系统接入多部门数据时，可能因数据权属不清晰、共享机制不规范，引发数据使用合规性争议。</w:t>
      </w:r>
    </w:p>
    <w:p w14:paraId="75B7EA51">
      <w:pPr>
        <w:pStyle w:val="5"/>
        <w:numPr>
          <w:ilvl w:val="3"/>
          <w:numId w:val="17"/>
        </w:numPr>
      </w:pPr>
      <w:r>
        <w:rPr>
          <w:rFonts w:hint="eastAsia"/>
        </w:rPr>
        <w:t>资金与资源风险</w:t>
      </w:r>
    </w:p>
    <w:p w14:paraId="75B7EA52">
      <w:pPr>
        <w:ind w:firstLine="480"/>
        <w:rPr>
          <w:rFonts w:hint="eastAsia"/>
          <w:lang w:val="en-US"/>
        </w:rPr>
      </w:pPr>
      <w:r>
        <w:rPr>
          <w:rFonts w:hint="eastAsia"/>
          <w:lang w:val="en-US"/>
        </w:rPr>
        <w:t>1. 预算超支风险：设备采购、系统升级、施工部署等环节可能因价格波动、技术迭代等因素导致成本超出预算。</w:t>
      </w:r>
    </w:p>
    <w:p w14:paraId="75B7EA53">
      <w:pPr>
        <w:ind w:firstLine="480"/>
        <w:rPr>
          <w:rFonts w:hint="eastAsia"/>
          <w:lang w:val="en-US"/>
        </w:rPr>
      </w:pPr>
      <w:r>
        <w:rPr>
          <w:rFonts w:hint="eastAsia"/>
          <w:lang w:val="en-US"/>
        </w:rPr>
        <w:t>2. 资源协调困难：社会面资源（如铁塔、企业监控）的复用需多方协商，可能因利益诉求不一致导致资源获取受阻。</w:t>
      </w:r>
    </w:p>
    <w:p w14:paraId="75B7EA54">
      <w:pPr>
        <w:pStyle w:val="5"/>
        <w:numPr>
          <w:ilvl w:val="3"/>
          <w:numId w:val="17"/>
        </w:numPr>
      </w:pPr>
      <w:r>
        <w:rPr>
          <w:rFonts w:hint="eastAsia"/>
        </w:rPr>
        <w:t>人员与运营风险</w:t>
      </w:r>
    </w:p>
    <w:p w14:paraId="75B7EA55">
      <w:pPr>
        <w:ind w:firstLine="480"/>
        <w:rPr>
          <w:rFonts w:hint="eastAsia"/>
          <w:lang w:val="en-US"/>
        </w:rPr>
      </w:pPr>
      <w:r>
        <w:rPr>
          <w:rFonts w:hint="eastAsia"/>
          <w:lang w:val="en-US"/>
        </w:rPr>
        <w:t>1. 工作人员操作能力不足：新系统涉及AI分析、无人机调度等复杂功能，执法人员可能因培训不到位导致系统利用率低。</w:t>
      </w:r>
    </w:p>
    <w:p w14:paraId="75B7EA56">
      <w:pPr>
        <w:ind w:firstLine="480"/>
        <w:rPr>
          <w:rFonts w:hint="eastAsia"/>
          <w:lang w:val="en-US"/>
        </w:rPr>
      </w:pPr>
      <w:r>
        <w:rPr>
          <w:rFonts w:hint="eastAsia"/>
          <w:lang w:val="en-US"/>
        </w:rPr>
        <w:t>2. 维护机制不健全：设备日常维护（如无人机电池更换、监控设备清洁）依赖专业人员，若维护团队响应不及时，可能导致设备故障频发。</w:t>
      </w:r>
    </w:p>
    <w:p w14:paraId="75B7EA57">
      <w:pPr>
        <w:ind w:firstLine="480"/>
        <w:rPr>
          <w:rFonts w:hint="eastAsia"/>
          <w:lang w:val="en-US"/>
        </w:rPr>
      </w:pPr>
      <w:r>
        <w:rPr>
          <w:rFonts w:hint="eastAsia"/>
          <w:lang w:val="en-US"/>
        </w:rPr>
        <w:t>3. 闭环管理流程脱节：“发现-预警-处置-反馈”流程中，若各环节责任划分不清、协同不畅，可能出现预警响应延迟、事件处理低效等问题。</w:t>
      </w:r>
    </w:p>
    <w:p w14:paraId="75B7EA58">
      <w:pPr>
        <w:pStyle w:val="5"/>
        <w:numPr>
          <w:ilvl w:val="3"/>
          <w:numId w:val="17"/>
        </w:numPr>
      </w:pPr>
      <w:r>
        <w:rPr>
          <w:rFonts w:hint="eastAsia"/>
        </w:rPr>
        <w:t>政策与合规风险</w:t>
      </w:r>
    </w:p>
    <w:p w14:paraId="75B7EA59">
      <w:pPr>
        <w:ind w:firstLine="480"/>
        <w:rPr>
          <w:rFonts w:hint="eastAsia"/>
          <w:lang w:val="en-US"/>
        </w:rPr>
      </w:pPr>
      <w:r>
        <w:rPr>
          <w:rFonts w:hint="eastAsia"/>
          <w:lang w:val="en-US"/>
        </w:rPr>
        <w:t>1. 政策调整风险：森林防火条例可能对监测范围提出新要求，导致项目目标需动态调整。</w:t>
      </w:r>
    </w:p>
    <w:p w14:paraId="75B7EA5A">
      <w:pPr>
        <w:ind w:firstLine="480"/>
        <w:rPr>
          <w:rFonts w:hint="eastAsia"/>
          <w:lang w:val="en-US"/>
        </w:rPr>
      </w:pPr>
      <w:r>
        <w:rPr>
          <w:rFonts w:hint="eastAsia"/>
          <w:lang w:val="en-US"/>
        </w:rPr>
        <w:t>2. 审批流程复杂：项目涉及多个审批环节，若审批进度滞后，可能影响项目落地。</w:t>
      </w:r>
    </w:p>
    <w:p w14:paraId="75B7EA5B">
      <w:pPr>
        <w:pStyle w:val="4"/>
        <w:numPr>
          <w:ilvl w:val="2"/>
          <w:numId w:val="17"/>
        </w:numPr>
        <w:rPr>
          <w:rFonts w:hint="eastAsia"/>
        </w:rPr>
      </w:pPr>
      <w:bookmarkStart w:id="289" w:name="_Toc18751"/>
      <w:r>
        <w:rPr>
          <w:rFonts w:hint="eastAsia"/>
        </w:rPr>
        <w:t>风险对策和管理</w:t>
      </w:r>
      <w:bookmarkEnd w:id="289"/>
    </w:p>
    <w:p w14:paraId="75B7EA5C">
      <w:pPr>
        <w:pStyle w:val="5"/>
        <w:numPr>
          <w:ilvl w:val="3"/>
          <w:numId w:val="17"/>
        </w:numPr>
      </w:pPr>
      <w:r>
        <w:rPr>
          <w:rFonts w:hint="eastAsia"/>
        </w:rPr>
        <w:t>技术风险应对措施</w:t>
      </w:r>
    </w:p>
    <w:p w14:paraId="75B7EA5D">
      <w:pPr>
        <w:ind w:firstLine="480"/>
        <w:rPr>
          <w:rFonts w:hint="eastAsia"/>
          <w:lang w:val="en-US"/>
        </w:rPr>
      </w:pPr>
      <w:r>
        <w:rPr>
          <w:rFonts w:hint="eastAsia"/>
          <w:lang w:val="en-US"/>
        </w:rPr>
        <w:t>1. 算法优化与测试：</w:t>
      </w:r>
    </w:p>
    <w:p w14:paraId="75B7EA5E">
      <w:pPr>
        <w:ind w:firstLine="480"/>
        <w:rPr>
          <w:rFonts w:hint="eastAsia"/>
          <w:lang w:val="en-US"/>
        </w:rPr>
      </w:pPr>
      <w:r>
        <w:rPr>
          <w:rFonts w:hint="eastAsia"/>
          <w:lang w:val="en-US"/>
        </w:rPr>
        <w:t>前期选取典型区域进行AI算法试点，通过实际场景数据训练模型，提升识别准确率（目标识别准确率≥90%）。</w:t>
      </w:r>
    </w:p>
    <w:p w14:paraId="75B7EA5F">
      <w:pPr>
        <w:ind w:firstLine="480"/>
        <w:rPr>
          <w:rFonts w:hint="eastAsia"/>
          <w:lang w:val="en-US"/>
        </w:rPr>
      </w:pPr>
      <w:r>
        <w:rPr>
          <w:rFonts w:hint="eastAsia"/>
          <w:lang w:val="en-US"/>
        </w:rPr>
        <w:t>建立算法动态优化机制，每月收集误报案例并更新模型，引入第三方机构进行算法性能评估。</w:t>
      </w:r>
    </w:p>
    <w:p w14:paraId="75B7EA60">
      <w:pPr>
        <w:ind w:firstLine="480"/>
        <w:rPr>
          <w:rFonts w:hint="eastAsia"/>
          <w:lang w:val="en-US"/>
        </w:rPr>
      </w:pPr>
      <w:r>
        <w:rPr>
          <w:rFonts w:hint="eastAsia"/>
          <w:lang w:val="en-US"/>
        </w:rPr>
        <w:t>2. 设备兼容性测试：</w:t>
      </w:r>
    </w:p>
    <w:p w14:paraId="75B7EA61">
      <w:pPr>
        <w:ind w:firstLine="480"/>
        <w:rPr>
          <w:rFonts w:hint="eastAsia"/>
          <w:lang w:val="en-US"/>
        </w:rPr>
      </w:pPr>
      <w:r>
        <w:rPr>
          <w:rFonts w:hint="eastAsia"/>
          <w:lang w:val="en-US"/>
        </w:rPr>
        <w:t>设备采购前进行兼容性测试，要求供应商提供接口标准化文档，确保与现有平台无缝对接。</w:t>
      </w:r>
    </w:p>
    <w:p w14:paraId="75B7EA62">
      <w:pPr>
        <w:ind w:firstLine="480"/>
        <w:rPr>
          <w:rFonts w:hint="eastAsia"/>
          <w:lang w:val="en-US"/>
        </w:rPr>
      </w:pPr>
      <w:r>
        <w:rPr>
          <w:rFonts w:hint="eastAsia"/>
          <w:lang w:val="en-US"/>
        </w:rPr>
        <w:t>新增设备部署前进行压力测试，模拟500+并发访问场景，验证系统稳定性。</w:t>
      </w:r>
    </w:p>
    <w:p w14:paraId="75B7EA63">
      <w:pPr>
        <w:ind w:firstLine="480"/>
        <w:rPr>
          <w:rFonts w:hint="eastAsia"/>
          <w:lang w:val="en-US"/>
        </w:rPr>
      </w:pPr>
      <w:r>
        <w:rPr>
          <w:rFonts w:hint="eastAsia"/>
          <w:lang w:val="en-US"/>
        </w:rPr>
        <w:t>3. 无人机保障机制：</w:t>
      </w:r>
    </w:p>
    <w:p w14:paraId="75B7EA64">
      <w:pPr>
        <w:ind w:firstLine="480"/>
        <w:rPr>
          <w:rFonts w:hint="eastAsia"/>
          <w:lang w:val="en-US"/>
        </w:rPr>
      </w:pPr>
      <w:r>
        <w:rPr>
          <w:rFonts w:hint="eastAsia"/>
          <w:lang w:val="en-US"/>
        </w:rPr>
        <w:t>配备备用电池和应急充电设备，优化航线规划以减少能耗，在基站部署气象监测设备，恶劣天气前自动召回无人机。</w:t>
      </w:r>
    </w:p>
    <w:p w14:paraId="75B7EA65">
      <w:pPr>
        <w:ind w:firstLine="480"/>
        <w:rPr>
          <w:rFonts w:hint="eastAsia"/>
          <w:lang w:val="en-US"/>
        </w:rPr>
      </w:pPr>
      <w:r>
        <w:rPr>
          <w:rFonts w:hint="eastAsia"/>
          <w:lang w:val="en-US"/>
        </w:rPr>
        <w:t>与厂商签订运维协议，要求2小时内响应故障，4小时内修复。</w:t>
      </w:r>
    </w:p>
    <w:p w14:paraId="75B7EA66">
      <w:pPr>
        <w:pStyle w:val="5"/>
        <w:numPr>
          <w:ilvl w:val="3"/>
          <w:numId w:val="17"/>
        </w:numPr>
        <w:rPr>
          <w:lang w:val="en-US"/>
        </w:rPr>
      </w:pPr>
      <w:r>
        <w:rPr>
          <w:rFonts w:hint="eastAsia"/>
        </w:rPr>
        <w:t>系统整合风险应对措施</w:t>
      </w:r>
    </w:p>
    <w:p w14:paraId="75B7EA67">
      <w:pPr>
        <w:ind w:firstLine="480"/>
        <w:rPr>
          <w:rFonts w:hint="eastAsia"/>
          <w:lang w:val="en-US"/>
        </w:rPr>
      </w:pPr>
      <w:r>
        <w:rPr>
          <w:rFonts w:hint="eastAsia"/>
          <w:lang w:val="en-US"/>
        </w:rPr>
        <w:t>1. 数据标准化建设：</w:t>
      </w:r>
    </w:p>
    <w:p w14:paraId="75B7EA68">
      <w:pPr>
        <w:ind w:firstLine="480"/>
        <w:rPr>
          <w:rFonts w:hint="eastAsia"/>
          <w:lang w:val="en-US"/>
        </w:rPr>
      </w:pPr>
      <w:r>
        <w:rPr>
          <w:rFonts w:hint="eastAsia"/>
          <w:lang w:val="en-US"/>
        </w:rPr>
        <w:t>制定统一的数据格式标准，建立数据清洗机制，确保多源数据兼容。</w:t>
      </w:r>
    </w:p>
    <w:p w14:paraId="75B7EA69">
      <w:pPr>
        <w:ind w:firstLine="480"/>
        <w:rPr>
          <w:rFonts w:hint="eastAsia"/>
          <w:lang w:val="en-US"/>
        </w:rPr>
      </w:pPr>
      <w:r>
        <w:rPr>
          <w:rFonts w:hint="eastAsia"/>
          <w:lang w:val="en-US"/>
        </w:rPr>
        <w:t>搭建数据中台，实现数据的实时同步与转换，支持跨部门数据查询。</w:t>
      </w:r>
    </w:p>
    <w:p w14:paraId="75B7EA6A">
      <w:pPr>
        <w:ind w:firstLine="480"/>
        <w:rPr>
          <w:rFonts w:hint="eastAsia"/>
          <w:lang w:val="en-US"/>
        </w:rPr>
      </w:pPr>
      <w:r>
        <w:rPr>
          <w:rFonts w:hint="eastAsia"/>
          <w:lang w:val="en-US"/>
        </w:rPr>
        <w:t>2. 网络与权限优化：</w:t>
      </w:r>
    </w:p>
    <w:p w14:paraId="75B7EA6B">
      <w:pPr>
        <w:ind w:firstLine="480"/>
        <w:rPr>
          <w:rFonts w:hint="eastAsia"/>
          <w:lang w:val="en-US"/>
        </w:rPr>
      </w:pPr>
      <w:r>
        <w:rPr>
          <w:rFonts w:hint="eastAsia"/>
          <w:lang w:val="en-US"/>
        </w:rPr>
        <w:t>划分市县两级数据传输专用通道，保障数据级联效率。</w:t>
      </w:r>
    </w:p>
    <w:p w14:paraId="75B7EA6C">
      <w:pPr>
        <w:ind w:firstLine="480"/>
        <w:rPr>
          <w:rFonts w:hint="eastAsia"/>
          <w:lang w:val="en-US"/>
        </w:rPr>
      </w:pPr>
      <w:r>
        <w:rPr>
          <w:rFonts w:hint="eastAsia"/>
          <w:lang w:val="en-US"/>
        </w:rPr>
        <w:t>建立分级权限管理体系，明确市级、区县、乡镇三级用户的访问权限，避免数据滥用。</w:t>
      </w:r>
    </w:p>
    <w:p w14:paraId="75B7EA6D">
      <w:pPr>
        <w:ind w:firstLine="480"/>
        <w:rPr>
          <w:rFonts w:hint="eastAsia"/>
          <w:lang w:val="en-US"/>
        </w:rPr>
      </w:pPr>
      <w:r>
        <w:rPr>
          <w:rFonts w:hint="eastAsia"/>
          <w:lang w:val="en-US"/>
        </w:rPr>
        <w:t>3. 系统平滑过渡：</w:t>
      </w:r>
    </w:p>
    <w:p w14:paraId="75B7EA6E">
      <w:pPr>
        <w:ind w:firstLine="480"/>
        <w:rPr>
          <w:rFonts w:hint="eastAsia"/>
          <w:lang w:val="en-US"/>
        </w:rPr>
      </w:pPr>
      <w:r>
        <w:rPr>
          <w:rFonts w:hint="eastAsia"/>
          <w:lang w:val="en-US"/>
        </w:rPr>
        <w:t>分阶段接入新旧设备，先试点后推广，实时监控系统负载，发现冲突立即回滚调整。</w:t>
      </w:r>
    </w:p>
    <w:p w14:paraId="75B7EA6F">
      <w:pPr>
        <w:pStyle w:val="5"/>
        <w:numPr>
          <w:ilvl w:val="3"/>
          <w:numId w:val="17"/>
        </w:numPr>
      </w:pPr>
      <w:r>
        <w:rPr>
          <w:rFonts w:hint="eastAsia"/>
        </w:rPr>
        <w:t>施工与部署风险应对措施</w:t>
      </w:r>
    </w:p>
    <w:p w14:paraId="75B7EA70">
      <w:pPr>
        <w:ind w:firstLine="480"/>
        <w:rPr>
          <w:rFonts w:hint="eastAsia"/>
          <w:lang w:val="en-US"/>
        </w:rPr>
      </w:pPr>
      <w:r>
        <w:rPr>
          <w:rFonts w:hint="eastAsia"/>
          <w:lang w:val="en-US"/>
        </w:rPr>
        <w:t>1. 点位施工方案细化：</w:t>
      </w:r>
    </w:p>
    <w:p w14:paraId="75B7EA71">
      <w:pPr>
        <w:ind w:firstLine="480"/>
        <w:rPr>
          <w:rFonts w:hint="eastAsia"/>
          <w:lang w:val="en-US"/>
        </w:rPr>
      </w:pPr>
      <w:r>
        <w:rPr>
          <w:rFonts w:hint="eastAsia"/>
          <w:lang w:val="en-US"/>
        </w:rPr>
        <w:t>提前与相关部门沟通，办理作业许可，制定专项施工方案。</w:t>
      </w:r>
    </w:p>
    <w:p w14:paraId="75B7EA72">
      <w:pPr>
        <w:ind w:firstLine="480"/>
        <w:rPr>
          <w:rFonts w:hint="eastAsia"/>
          <w:lang w:val="en-US"/>
        </w:rPr>
      </w:pPr>
      <w:r>
        <w:rPr>
          <w:rFonts w:hint="eastAsia"/>
          <w:lang w:val="en-US"/>
        </w:rPr>
        <w:t>成立跨部门协调小组，每周召开进度会，解决施工受阻问题。</w:t>
      </w:r>
    </w:p>
    <w:p w14:paraId="75B7EA73">
      <w:pPr>
        <w:ind w:firstLine="480"/>
        <w:rPr>
          <w:rFonts w:hint="eastAsia"/>
          <w:lang w:val="en-US"/>
        </w:rPr>
      </w:pPr>
      <w:r>
        <w:rPr>
          <w:rFonts w:hint="eastAsia"/>
          <w:lang w:val="en-US"/>
        </w:rPr>
        <w:t>2. 基础设施保障：</w:t>
      </w:r>
    </w:p>
    <w:p w14:paraId="75B7EA74">
      <w:pPr>
        <w:ind w:firstLine="480"/>
        <w:rPr>
          <w:rFonts w:hint="eastAsia"/>
          <w:lang w:val="en-US"/>
        </w:rPr>
      </w:pPr>
      <w:r>
        <w:rPr>
          <w:rFonts w:hint="eastAsia"/>
          <w:lang w:val="en-US"/>
        </w:rPr>
        <w:t>偏远区域采用太阳能供电+4G/5G无线传输方案，配备储能电池（续航≥72小时），确保设备不间断运行。</w:t>
      </w:r>
    </w:p>
    <w:p w14:paraId="75B7EA75">
      <w:pPr>
        <w:ind w:firstLine="480"/>
        <w:rPr>
          <w:rFonts w:hint="eastAsia"/>
          <w:lang w:val="en-US"/>
        </w:rPr>
      </w:pPr>
      <w:r>
        <w:rPr>
          <w:rFonts w:hint="eastAsia"/>
          <w:lang w:val="en-US"/>
        </w:rPr>
        <w:t xml:space="preserve"> 联合运营商优化基站信号，在信号盲区增设微型基站。</w:t>
      </w:r>
    </w:p>
    <w:p w14:paraId="75B7EA76">
      <w:pPr>
        <w:ind w:firstLine="480"/>
        <w:rPr>
          <w:rFonts w:hint="eastAsia"/>
          <w:lang w:val="en-US"/>
        </w:rPr>
      </w:pPr>
      <w:r>
        <w:rPr>
          <w:rFonts w:hint="eastAsia"/>
          <w:lang w:val="en-US"/>
        </w:rPr>
        <w:t>3. 生态保护措施：</w:t>
      </w:r>
    </w:p>
    <w:p w14:paraId="75B7EA77">
      <w:pPr>
        <w:ind w:firstLine="480"/>
        <w:rPr>
          <w:rFonts w:hint="eastAsia"/>
          <w:lang w:val="en-US"/>
        </w:rPr>
      </w:pPr>
      <w:r>
        <w:rPr>
          <w:rFonts w:hint="eastAsia"/>
          <w:lang w:val="en-US"/>
        </w:rPr>
        <w:t>施工前进行环境评估，划定施工范围（控制在5米内），采用人工搬运设备减少机械碾压，施工后及时恢复植被。</w:t>
      </w:r>
    </w:p>
    <w:p w14:paraId="75B7EA78">
      <w:pPr>
        <w:pStyle w:val="5"/>
        <w:numPr>
          <w:ilvl w:val="3"/>
          <w:numId w:val="17"/>
        </w:numPr>
      </w:pPr>
      <w:r>
        <w:rPr>
          <w:rFonts w:hint="eastAsia"/>
        </w:rPr>
        <w:t>数据安全与合规风险应对措施</w:t>
      </w:r>
    </w:p>
    <w:p w14:paraId="75B7EA79">
      <w:pPr>
        <w:ind w:firstLine="480"/>
        <w:rPr>
          <w:rFonts w:hint="eastAsia"/>
          <w:lang w:val="en-US"/>
        </w:rPr>
      </w:pPr>
      <w:r>
        <w:rPr>
          <w:rFonts w:hint="eastAsia"/>
          <w:lang w:val="en-US"/>
        </w:rPr>
        <w:t>1. 敏感数据防护：</w:t>
      </w:r>
    </w:p>
    <w:p w14:paraId="75B7EA7A">
      <w:pPr>
        <w:ind w:firstLine="480"/>
        <w:rPr>
          <w:rFonts w:hint="eastAsia"/>
          <w:lang w:val="en-US"/>
        </w:rPr>
      </w:pPr>
      <w:r>
        <w:rPr>
          <w:rFonts w:hint="eastAsia"/>
          <w:lang w:val="en-US"/>
        </w:rPr>
        <w:t>人脸、车辆数据存储采用国密算法加密，传输过程启用SSL/TLS协议，定期进行渗透测试。</w:t>
      </w:r>
    </w:p>
    <w:p w14:paraId="75B7EA7B">
      <w:pPr>
        <w:ind w:firstLine="480"/>
        <w:rPr>
          <w:rFonts w:hint="eastAsia"/>
          <w:lang w:val="en-US"/>
        </w:rPr>
      </w:pPr>
      <w:r>
        <w:rPr>
          <w:rFonts w:hint="eastAsia"/>
          <w:lang w:val="en-US"/>
        </w:rPr>
        <w:t>建立数据访问日志，限制仅执法人员因办案需求可查询敏感信息，数据留存期限严格遵循法规要求（一般不超过6个月）。</w:t>
      </w:r>
    </w:p>
    <w:p w14:paraId="75B7EA7C">
      <w:pPr>
        <w:ind w:firstLine="480"/>
        <w:rPr>
          <w:rFonts w:hint="eastAsia"/>
          <w:lang w:val="en-US"/>
        </w:rPr>
      </w:pPr>
      <w:r>
        <w:rPr>
          <w:rFonts w:hint="eastAsia"/>
          <w:lang w:val="en-US"/>
        </w:rPr>
        <w:t>2. 合规性管理：</w:t>
      </w:r>
    </w:p>
    <w:p w14:paraId="75B7EA7D">
      <w:pPr>
        <w:ind w:firstLine="480"/>
        <w:rPr>
          <w:rFonts w:hint="eastAsia"/>
          <w:lang w:val="en-US"/>
        </w:rPr>
      </w:pPr>
      <w:r>
        <w:rPr>
          <w:rFonts w:hint="eastAsia"/>
          <w:lang w:val="en-US"/>
        </w:rPr>
        <w:t>与数据提供方签订共享协议，明确数据用途、权属及保密责任，符合《数据安全法》要求。</w:t>
      </w:r>
    </w:p>
    <w:p w14:paraId="75B7EA7E">
      <w:pPr>
        <w:pStyle w:val="5"/>
        <w:numPr>
          <w:ilvl w:val="3"/>
          <w:numId w:val="17"/>
        </w:numPr>
      </w:pPr>
      <w:r>
        <w:rPr>
          <w:rFonts w:hint="eastAsia"/>
        </w:rPr>
        <w:t>资金与资源风险应对措施</w:t>
      </w:r>
    </w:p>
    <w:p w14:paraId="75B7EA7F">
      <w:pPr>
        <w:ind w:firstLine="480"/>
        <w:rPr>
          <w:rFonts w:hint="eastAsia"/>
          <w:lang w:val="en-US"/>
        </w:rPr>
      </w:pPr>
      <w:r>
        <w:rPr>
          <w:rFonts w:hint="eastAsia"/>
          <w:lang w:val="en-US"/>
        </w:rPr>
        <w:t>1. 预算管控：</w:t>
      </w:r>
    </w:p>
    <w:p w14:paraId="75B7EA80">
      <w:pPr>
        <w:ind w:firstLine="480"/>
        <w:rPr>
          <w:rFonts w:hint="eastAsia"/>
          <w:lang w:val="en-US"/>
        </w:rPr>
      </w:pPr>
      <w:r>
        <w:rPr>
          <w:rFonts w:hint="eastAsia"/>
          <w:lang w:val="en-US"/>
        </w:rPr>
        <w:t>制定详细的预算明细表，预留10%应急资金应对价格波动，设备采购采用公开招标降低成本。</w:t>
      </w:r>
    </w:p>
    <w:p w14:paraId="75B7EA81">
      <w:pPr>
        <w:ind w:firstLine="480"/>
        <w:rPr>
          <w:rFonts w:hint="eastAsia"/>
          <w:lang w:val="en-US"/>
        </w:rPr>
      </w:pPr>
      <w:r>
        <w:rPr>
          <w:rFonts w:hint="eastAsia"/>
          <w:lang w:val="en-US"/>
        </w:rPr>
        <w:t>分阶段验收付款，与进度挂钩（如完成50%点位安装支付30%款项），避免超支。</w:t>
      </w:r>
    </w:p>
    <w:p w14:paraId="75B7EA82">
      <w:pPr>
        <w:ind w:firstLine="480"/>
        <w:rPr>
          <w:rFonts w:hint="eastAsia"/>
          <w:lang w:val="en-US"/>
        </w:rPr>
      </w:pPr>
      <w:r>
        <w:rPr>
          <w:rFonts w:hint="eastAsia"/>
          <w:lang w:val="en-US"/>
        </w:rPr>
        <w:t>2. 资源协调：</w:t>
      </w:r>
    </w:p>
    <w:p w14:paraId="75B7EA83">
      <w:pPr>
        <w:ind w:firstLine="480"/>
        <w:rPr>
          <w:rFonts w:hint="eastAsia"/>
          <w:lang w:val="en-US"/>
        </w:rPr>
      </w:pPr>
      <w:r>
        <w:rPr>
          <w:rFonts w:hint="eastAsia"/>
          <w:lang w:val="en-US"/>
        </w:rPr>
        <w:t>由市数据局牵头，与沿线企业签订资源复用协议，明确免费或低成本使用条款，减少重复建设。</w:t>
      </w:r>
    </w:p>
    <w:p w14:paraId="75B7EA84">
      <w:pPr>
        <w:pStyle w:val="5"/>
        <w:numPr>
          <w:ilvl w:val="3"/>
          <w:numId w:val="17"/>
        </w:numPr>
      </w:pPr>
      <w:r>
        <w:rPr>
          <w:rFonts w:hint="eastAsia"/>
        </w:rPr>
        <w:t>人员与运营风险应对措施</w:t>
      </w:r>
    </w:p>
    <w:p w14:paraId="75B7EA85">
      <w:pPr>
        <w:ind w:firstLine="480"/>
        <w:rPr>
          <w:rFonts w:hint="eastAsia"/>
          <w:lang w:val="en-US"/>
        </w:rPr>
      </w:pPr>
      <w:r>
        <w:rPr>
          <w:rFonts w:hint="eastAsia"/>
          <w:lang w:val="en-US"/>
        </w:rPr>
        <w:t>1. 培训体系建设：</w:t>
      </w:r>
    </w:p>
    <w:p w14:paraId="75B7EA86">
      <w:pPr>
        <w:ind w:firstLine="480"/>
        <w:rPr>
          <w:rFonts w:hint="eastAsia"/>
          <w:lang w:val="en-US"/>
        </w:rPr>
      </w:pPr>
      <w:r>
        <w:rPr>
          <w:rFonts w:hint="eastAsia"/>
          <w:lang w:val="en-US"/>
        </w:rPr>
        <w:t>编制操作手册（含视频教程），分批次开展培训，考核通过后方可上岗。</w:t>
      </w:r>
    </w:p>
    <w:p w14:paraId="75B7EA87">
      <w:pPr>
        <w:ind w:firstLine="480"/>
        <w:rPr>
          <w:rFonts w:hint="eastAsia"/>
          <w:lang w:val="en-US"/>
        </w:rPr>
      </w:pPr>
      <w:r>
        <w:rPr>
          <w:rFonts w:hint="eastAsia"/>
          <w:lang w:val="en-US"/>
        </w:rPr>
        <w:t>建立“技术人员+执法人员”结对机制，现场指导1个月确保熟练操作。</w:t>
      </w:r>
    </w:p>
    <w:p w14:paraId="75B7EA88">
      <w:pPr>
        <w:ind w:firstLine="480"/>
        <w:rPr>
          <w:rFonts w:hint="eastAsia"/>
          <w:lang w:val="en-US"/>
        </w:rPr>
      </w:pPr>
      <w:r>
        <w:rPr>
          <w:rFonts w:hint="eastAsia"/>
          <w:lang w:val="en-US"/>
        </w:rPr>
        <w:t>2. 运维机制完善：</w:t>
      </w:r>
    </w:p>
    <w:p w14:paraId="75B7EA89">
      <w:pPr>
        <w:ind w:firstLine="480"/>
        <w:rPr>
          <w:rFonts w:hint="eastAsia"/>
          <w:lang w:val="en-US"/>
        </w:rPr>
      </w:pPr>
      <w:r>
        <w:rPr>
          <w:rFonts w:hint="eastAsia"/>
          <w:lang w:val="en-US"/>
        </w:rPr>
        <w:t>组建7×24小时运维团队，配备无人机、监控设备专用维修工具，故障响应时间≤2小时，重大故障修复≤24小时。</w:t>
      </w:r>
    </w:p>
    <w:p w14:paraId="75B7EA8A">
      <w:pPr>
        <w:ind w:firstLine="480"/>
        <w:rPr>
          <w:rFonts w:hint="eastAsia"/>
          <w:lang w:val="en-US"/>
        </w:rPr>
      </w:pPr>
      <w:r>
        <w:rPr>
          <w:rFonts w:hint="eastAsia"/>
          <w:lang w:val="en-US"/>
        </w:rPr>
        <w:t>建立设备台账，定期巡检（每月1次），重点检查电池寿命、镜头清洁度、网络稳定性。</w:t>
      </w:r>
    </w:p>
    <w:p w14:paraId="75B7EA8B">
      <w:pPr>
        <w:ind w:firstLine="480"/>
        <w:rPr>
          <w:rFonts w:hint="eastAsia"/>
          <w:lang w:val="en-US"/>
        </w:rPr>
      </w:pPr>
      <w:r>
        <w:rPr>
          <w:rFonts w:hint="eastAsia"/>
          <w:lang w:val="en-US"/>
        </w:rPr>
        <w:t>3. 闭环流程优化：</w:t>
      </w:r>
    </w:p>
    <w:p w14:paraId="75B7EA8C">
      <w:pPr>
        <w:ind w:firstLine="480"/>
        <w:rPr>
          <w:rFonts w:hint="eastAsia"/>
          <w:lang w:val="en-US"/>
        </w:rPr>
      </w:pPr>
      <w:r>
        <w:rPr>
          <w:rFonts w:hint="eastAsia"/>
          <w:lang w:val="en-US"/>
        </w:rPr>
        <w:t>明确市数据局、市林业局、运维团队的职责分工。</w:t>
      </w:r>
    </w:p>
    <w:p w14:paraId="75B7EA8D">
      <w:pPr>
        <w:pStyle w:val="5"/>
        <w:numPr>
          <w:ilvl w:val="3"/>
          <w:numId w:val="17"/>
        </w:numPr>
      </w:pPr>
      <w:r>
        <w:rPr>
          <w:rFonts w:hint="eastAsia"/>
        </w:rPr>
        <w:t>政策与合规风险应对措施</w:t>
      </w:r>
    </w:p>
    <w:p w14:paraId="75B7EA8E">
      <w:pPr>
        <w:ind w:firstLine="480"/>
        <w:rPr>
          <w:rFonts w:hint="eastAsia"/>
          <w:lang w:val="en-US"/>
        </w:rPr>
      </w:pPr>
      <w:r>
        <w:rPr>
          <w:rFonts w:hint="eastAsia"/>
          <w:lang w:val="en-US"/>
        </w:rPr>
        <w:t>1. 动态调整机制：</w:t>
      </w:r>
    </w:p>
    <w:p w14:paraId="75B7EA8F">
      <w:pPr>
        <w:ind w:firstLine="480"/>
        <w:rPr>
          <w:rFonts w:hint="eastAsia"/>
          <w:lang w:val="en-US"/>
        </w:rPr>
      </w:pPr>
      <w:r>
        <w:rPr>
          <w:rFonts w:hint="eastAsia"/>
          <w:lang w:val="en-US"/>
        </w:rPr>
        <w:t>安排专人跟踪政策变化，每季度更新项目目标（如监测范围扩大），确保与上级要求一致。</w:t>
      </w:r>
    </w:p>
    <w:p w14:paraId="75B7EA90">
      <w:pPr>
        <w:ind w:firstLine="480"/>
        <w:rPr>
          <w:rFonts w:hint="eastAsia"/>
          <w:lang w:val="en-US"/>
        </w:rPr>
      </w:pPr>
      <w:r>
        <w:rPr>
          <w:rFonts w:hint="eastAsia"/>
          <w:lang w:val="en-US"/>
        </w:rPr>
        <w:t>预留系统扩展性（如算法模块可新增、点位可增补），适应未来需求。</w:t>
      </w:r>
    </w:p>
    <w:p w14:paraId="75B7EA91">
      <w:pPr>
        <w:ind w:firstLine="480"/>
        <w:rPr>
          <w:rFonts w:hint="eastAsia"/>
          <w:lang w:val="en-US"/>
        </w:rPr>
      </w:pPr>
      <w:r>
        <w:rPr>
          <w:rFonts w:hint="eastAsia"/>
          <w:lang w:val="en-US"/>
        </w:rPr>
        <w:t>2. 审批协同：</w:t>
      </w:r>
    </w:p>
    <w:p w14:paraId="75B7EA92">
      <w:pPr>
        <w:ind w:firstLine="480"/>
        <w:rPr>
          <w:rFonts w:hint="eastAsia"/>
          <w:lang w:val="en-US"/>
        </w:rPr>
      </w:pPr>
      <w:r>
        <w:rPr>
          <w:rFonts w:hint="eastAsia"/>
          <w:lang w:val="en-US"/>
        </w:rPr>
        <w:t>成立审批专班，由市数据局牵头协调相关部门，提前准备申报材料（如环评报告、施工方案），缩短审批周期。</w:t>
      </w:r>
    </w:p>
    <w:p w14:paraId="75B7EA93">
      <w:pPr>
        <w:ind w:firstLine="480"/>
        <w:rPr>
          <w:rFonts w:hint="eastAsia"/>
          <w:lang w:val="en-US"/>
        </w:rPr>
      </w:pPr>
      <w:r>
        <w:rPr>
          <w:rFonts w:hint="eastAsia"/>
          <w:lang w:val="en-US"/>
        </w:rPr>
        <w:t>通过以上措施，可有效降低项目实施风险，保障渔政执法能力提升方案顺利落地，实现“全时空覆盖、智能化预警、高效化处置”的目标。</w:t>
      </w:r>
    </w:p>
    <w:p w14:paraId="75B7EA94">
      <w:pPr>
        <w:ind w:firstLine="480"/>
        <w:rPr>
          <w:rFonts w:hint="eastAsia"/>
          <w:lang w:val="en-US"/>
        </w:rPr>
      </w:pPr>
    </w:p>
    <w:bookmarkEnd w:id="246"/>
    <w:bookmarkEnd w:id="247"/>
    <w:bookmarkEnd w:id="248"/>
    <w:bookmarkEnd w:id="249"/>
    <w:bookmarkEnd w:id="250"/>
    <w:p w14:paraId="75B80E35">
      <w:pPr>
        <w:pStyle w:val="2"/>
        <w:numPr>
          <w:ilvl w:val="0"/>
          <w:numId w:val="17"/>
        </w:numPr>
        <w:rPr>
          <w:rFonts w:hint="eastAsia"/>
          <w:lang w:val="en-US"/>
        </w:rPr>
      </w:pPr>
      <w:bookmarkStart w:id="290" w:name="_Toc11381"/>
      <w:r>
        <w:rPr>
          <w:rFonts w:hint="eastAsia"/>
          <w:lang w:val="en-US"/>
        </w:rPr>
        <w:t>附件</w:t>
      </w:r>
      <w:bookmarkEnd w:id="290"/>
    </w:p>
    <w:p w14:paraId="75B80E36">
      <w:pPr>
        <w:pStyle w:val="3"/>
        <w:numPr>
          <w:ilvl w:val="1"/>
          <w:numId w:val="17"/>
        </w:numPr>
        <w:rPr>
          <w:lang w:val="en-US"/>
        </w:rPr>
      </w:pPr>
      <w:bookmarkStart w:id="291" w:name="_Toc16595"/>
      <w:r>
        <w:rPr>
          <w:rFonts w:hint="eastAsia"/>
          <w:lang w:val="en-US"/>
        </w:rPr>
        <w:t>初设批复文件</w:t>
      </w:r>
      <w:bookmarkEnd w:id="291"/>
    </w:p>
    <w:p w14:paraId="75B80E37">
      <w:pPr>
        <w:spacing w:line="240" w:lineRule="auto"/>
        <w:ind w:firstLine="0" w:firstLineChars="0"/>
        <w:rPr>
          <w:rFonts w:hint="eastAsia"/>
          <w:lang w:val="en-US"/>
        </w:rPr>
      </w:pPr>
      <w:r>
        <w:rPr>
          <w:rFonts w:hint="eastAsia"/>
          <w:lang w:val="en-US"/>
        </w:rPr>
        <w:drawing>
          <wp:inline distT="0" distB="0" distL="114300" distR="114300">
            <wp:extent cx="5272405" cy="6820535"/>
            <wp:effectExtent l="0" t="0" r="10795" b="12065"/>
            <wp:docPr id="3" name="图片 3" descr="2350b64f-58a8-402a-9b82-2df2c76c6e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350b64f-58a8-402a-9b82-2df2c76c6eeb"/>
                    <pic:cNvPicPr>
                      <a:picLocks noChangeAspect="1"/>
                    </pic:cNvPicPr>
                  </pic:nvPicPr>
                  <pic:blipFill>
                    <a:blip r:embed="rId75"/>
                    <a:stretch>
                      <a:fillRect/>
                    </a:stretch>
                  </pic:blipFill>
                  <pic:spPr>
                    <a:xfrm>
                      <a:off x="0" y="0"/>
                      <a:ext cx="5272405" cy="6820535"/>
                    </a:xfrm>
                    <a:prstGeom prst="rect">
                      <a:avLst/>
                    </a:prstGeom>
                  </pic:spPr>
                </pic:pic>
              </a:graphicData>
            </a:graphic>
          </wp:inline>
        </w:drawing>
      </w:r>
    </w:p>
    <w:p w14:paraId="75B80E38">
      <w:pPr>
        <w:spacing w:line="240" w:lineRule="auto"/>
        <w:ind w:firstLine="0" w:firstLineChars="0"/>
        <w:rPr>
          <w:rFonts w:hint="eastAsia"/>
        </w:rPr>
      </w:pPr>
      <w:r>
        <w:drawing>
          <wp:inline distT="0" distB="0" distL="114300" distR="114300">
            <wp:extent cx="5275580" cy="7052310"/>
            <wp:effectExtent l="0" t="0" r="762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6"/>
                    <a:stretch>
                      <a:fillRect/>
                    </a:stretch>
                  </pic:blipFill>
                  <pic:spPr>
                    <a:xfrm>
                      <a:off x="0" y="0"/>
                      <a:ext cx="5275580" cy="7052310"/>
                    </a:xfrm>
                    <a:prstGeom prst="rect">
                      <a:avLst/>
                    </a:prstGeom>
                    <a:noFill/>
                    <a:ln>
                      <a:noFill/>
                    </a:ln>
                  </pic:spPr>
                </pic:pic>
              </a:graphicData>
            </a:graphic>
          </wp:inline>
        </w:drawing>
      </w:r>
    </w:p>
    <w:p w14:paraId="75B80E39">
      <w:pPr>
        <w:spacing w:line="240" w:lineRule="auto"/>
        <w:ind w:firstLine="0" w:firstLineChars="0"/>
        <w:rPr>
          <w:rFonts w:hint="eastAsia"/>
          <w:lang w:val="en-US"/>
        </w:rPr>
      </w:pPr>
      <w:r>
        <w:drawing>
          <wp:inline distT="0" distB="0" distL="114300" distR="114300">
            <wp:extent cx="5274945" cy="6936740"/>
            <wp:effectExtent l="0" t="0" r="8255" b="1016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77"/>
                    <a:stretch>
                      <a:fillRect/>
                    </a:stretch>
                  </pic:blipFill>
                  <pic:spPr>
                    <a:xfrm>
                      <a:off x="0" y="0"/>
                      <a:ext cx="5274945" cy="6936740"/>
                    </a:xfrm>
                    <a:prstGeom prst="rect">
                      <a:avLst/>
                    </a:prstGeom>
                    <a:noFill/>
                    <a:ln>
                      <a:noFill/>
                    </a:ln>
                  </pic:spPr>
                </pic:pic>
              </a:graphicData>
            </a:graphic>
          </wp:inline>
        </w:drawing>
      </w:r>
    </w:p>
    <w:p w14:paraId="75B80E3A">
      <w:pPr>
        <w:pStyle w:val="3"/>
        <w:numPr>
          <w:ilvl w:val="1"/>
          <w:numId w:val="17"/>
        </w:numPr>
        <w:rPr>
          <w:lang w:val="en-US"/>
        </w:rPr>
      </w:pPr>
      <w:bookmarkStart w:id="292" w:name="_Toc13544"/>
      <w:r>
        <w:rPr>
          <w:rFonts w:hint="eastAsia"/>
          <w:lang w:val="en-US"/>
        </w:rPr>
        <w:t>可研批复文件</w:t>
      </w:r>
      <w:bookmarkEnd w:id="292"/>
    </w:p>
    <w:p w14:paraId="75B80E3B">
      <w:pPr>
        <w:ind w:left="480" w:firstLine="0" w:firstLineChars="0"/>
        <w:rPr>
          <w:rFonts w:hint="eastAsia"/>
          <w:lang w:val="en-US"/>
        </w:rPr>
      </w:pPr>
      <w:r>
        <w:drawing>
          <wp:anchor distT="0" distB="0" distL="114300" distR="114300" simplePos="0" relativeHeight="251663360" behindDoc="0" locked="0" layoutInCell="1" allowOverlap="1">
            <wp:simplePos x="0" y="0"/>
            <wp:positionH relativeFrom="column">
              <wp:posOffset>3810</wp:posOffset>
            </wp:positionH>
            <wp:positionV relativeFrom="paragraph">
              <wp:posOffset>260350</wp:posOffset>
            </wp:positionV>
            <wp:extent cx="5524500" cy="6492875"/>
            <wp:effectExtent l="0" t="0" r="0" b="3175"/>
            <wp:wrapTopAndBottom/>
            <wp:docPr id="959312151" name="图片 9"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312151" name="图片 9" descr="文本, 信件&#10;&#10;AI 生成的内容可能不正确。"/>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a:xfrm>
                      <a:off x="0" y="0"/>
                      <a:ext cx="5524500" cy="6492875"/>
                    </a:xfrm>
                    <a:prstGeom prst="rect">
                      <a:avLst/>
                    </a:prstGeom>
                    <a:noFill/>
                    <a:ln>
                      <a:noFill/>
                    </a:ln>
                  </pic:spPr>
                </pic:pic>
              </a:graphicData>
            </a:graphic>
          </wp:anchor>
        </w:drawing>
      </w:r>
    </w:p>
    <w:p w14:paraId="75B80E3C">
      <w:pPr>
        <w:ind w:firstLine="0" w:firstLineChars="0"/>
        <w:rPr>
          <w:rFonts w:hint="eastAsia" w:eastAsia="宋体" w:cs="Times New Roman"/>
          <w:kern w:val="2"/>
          <w:sz w:val="20"/>
          <w:szCs w:val="20"/>
          <w:lang w:val="en-US" w:bidi="ar-SA"/>
        </w:rPr>
      </w:pPr>
    </w:p>
    <w:p w14:paraId="75B80E3D">
      <w:pPr>
        <w:pStyle w:val="37"/>
        <w:ind w:firstLine="200"/>
      </w:pPr>
      <w:r>
        <w:drawing>
          <wp:inline distT="0" distB="0" distL="0" distR="0">
            <wp:extent cx="5278120" cy="7451725"/>
            <wp:effectExtent l="0" t="0" r="0" b="0"/>
            <wp:docPr id="2017175003" name="图片 15"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175003" name="图片 15" descr="文本, 信件&#10;&#10;AI 生成的内容可能不正确。"/>
                    <pic:cNvPicPr>
                      <a:picLocks noChangeAspect="1"/>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278120" cy="7451725"/>
                    </a:xfrm>
                    <a:prstGeom prst="rect">
                      <a:avLst/>
                    </a:prstGeom>
                  </pic:spPr>
                </pic:pic>
              </a:graphicData>
            </a:graphic>
          </wp:inline>
        </w:drawing>
      </w:r>
    </w:p>
    <w:p w14:paraId="75B80E3E">
      <w:pPr>
        <w:pStyle w:val="18"/>
        <w:ind w:firstLine="480"/>
        <w:rPr>
          <w:rFonts w:hint="eastAsia"/>
        </w:rPr>
      </w:pPr>
    </w:p>
    <w:p w14:paraId="75B80E3F">
      <w:pPr>
        <w:ind w:firstLine="480"/>
        <w:rPr>
          <w:rFonts w:hint="eastAsia"/>
        </w:rPr>
      </w:pPr>
    </w:p>
    <w:p w14:paraId="75B80E40">
      <w:pPr>
        <w:spacing w:line="240" w:lineRule="auto"/>
        <w:ind w:firstLine="0" w:firstLineChars="0"/>
        <w:rPr>
          <w:rFonts w:hint="eastAsia"/>
        </w:rPr>
      </w:pPr>
      <w:r>
        <w:drawing>
          <wp:inline distT="0" distB="0" distL="0" distR="0">
            <wp:extent cx="5278120" cy="7451725"/>
            <wp:effectExtent l="0" t="0" r="5080" b="3175"/>
            <wp:docPr id="314600400" name="图片 17"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600400" name="图片 17" descr="文本, 信件&#10;&#10;AI 生成的内容可能不正确。"/>
                    <pic:cNvPicPr>
                      <a:picLocks noChangeAspect="1"/>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278120" cy="7451725"/>
                    </a:xfrm>
                    <a:prstGeom prst="rect">
                      <a:avLst/>
                    </a:prstGeom>
                  </pic:spPr>
                </pic:pic>
              </a:graphicData>
            </a:graphic>
          </wp:inline>
        </w:drawing>
      </w:r>
    </w:p>
    <w:p w14:paraId="75B80E41">
      <w:pPr>
        <w:spacing w:line="240" w:lineRule="auto"/>
        <w:ind w:firstLine="0" w:firstLineChars="0"/>
        <w:rPr>
          <w:rFonts w:hint="eastAsia"/>
        </w:rPr>
      </w:pPr>
      <w:r>
        <w:drawing>
          <wp:inline distT="0" distB="0" distL="0" distR="0">
            <wp:extent cx="5278120" cy="7464425"/>
            <wp:effectExtent l="0" t="0" r="5080" b="3175"/>
            <wp:docPr id="680156154" name="图片 18"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156154" name="图片 18" descr="文本, 信件&#10;&#10;AI 生成的内容可能不正确。"/>
                    <pic:cNvPicPr>
                      <a:picLocks noChangeAspect="1"/>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278120" cy="7464425"/>
                    </a:xfrm>
                    <a:prstGeom prst="rect">
                      <a:avLst/>
                    </a:prstGeom>
                  </pic:spPr>
                </pic:pic>
              </a:graphicData>
            </a:graphic>
          </wp:inline>
        </w:drawing>
      </w:r>
    </w:p>
    <w:p w14:paraId="75B80E42">
      <w:pPr>
        <w:pStyle w:val="18"/>
        <w:ind w:firstLine="480"/>
        <w:rPr>
          <w:rFonts w:hint="eastAsia"/>
        </w:rPr>
      </w:pPr>
    </w:p>
    <w:p w14:paraId="75B80E43">
      <w:pPr>
        <w:pStyle w:val="3"/>
        <w:numPr>
          <w:ilvl w:val="1"/>
          <w:numId w:val="17"/>
        </w:numPr>
        <w:rPr>
          <w:lang w:val="en-US"/>
        </w:rPr>
      </w:pPr>
      <w:bookmarkStart w:id="293" w:name="_Toc17298"/>
      <w:r>
        <w:rPr>
          <w:lang w:val="en-US"/>
        </w:rPr>
        <w:t>需求调研表</w:t>
      </w:r>
      <w:bookmarkEnd w:id="293"/>
    </w:p>
    <w:p w14:paraId="75B80E44">
      <w:pPr>
        <w:pStyle w:val="18"/>
        <w:ind w:firstLine="480"/>
        <w:rPr>
          <w:rFonts w:hint="eastAsia"/>
        </w:rPr>
      </w:pPr>
    </w:p>
    <w:p w14:paraId="75B80E45">
      <w:pPr>
        <w:pStyle w:val="18"/>
        <w:ind w:firstLine="480"/>
        <w:rPr>
          <w:rFonts w:hint="eastAsia"/>
          <w:lang w:val="en-US" w:bidi="ar-SA"/>
        </w:rPr>
      </w:pPr>
    </w:p>
    <w:p w14:paraId="75B80E46">
      <w:pPr>
        <w:ind w:firstLine="0" w:firstLineChars="0"/>
        <w:rPr>
          <w:rFonts w:hint="eastAsia"/>
          <w:lang w:val="en-US"/>
        </w:rPr>
      </w:pPr>
      <w:r>
        <w:drawing>
          <wp:inline distT="0" distB="0" distL="0" distR="0">
            <wp:extent cx="5278120" cy="7464425"/>
            <wp:effectExtent l="0" t="0" r="5080" b="3175"/>
            <wp:docPr id="34" name="图片 18"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8" descr="文本, 信件&#10;&#10;AI 生成的内容可能不正确。"/>
                    <pic:cNvPicPr>
                      <a:picLocks noChangeAspect="1"/>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278120" cy="7464425"/>
                    </a:xfrm>
                    <a:prstGeom prst="rect">
                      <a:avLst/>
                    </a:prstGeom>
                  </pic:spPr>
                </pic:pic>
              </a:graphicData>
            </a:graphic>
          </wp:inline>
        </w:drawing>
      </w:r>
      <w:r>
        <w:drawing>
          <wp:inline distT="0" distB="0" distL="0" distR="0">
            <wp:extent cx="5278120" cy="7451725"/>
            <wp:effectExtent l="0" t="0" r="5080" b="3175"/>
            <wp:docPr id="30" name="图片 17" descr="文本, 信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7" descr="文本, 信件&#10;&#10;AI 生成的内容可能不正确。"/>
                    <pic:cNvPicPr>
                      <a:picLocks noChangeAspect="1"/>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278120" cy="7451725"/>
                    </a:xfrm>
                    <a:prstGeom prst="rect">
                      <a:avLst/>
                    </a:prstGeom>
                  </pic:spPr>
                </pic:pic>
              </a:graphicData>
            </a:graphic>
          </wp:inline>
        </w:drawing>
      </w:r>
    </w:p>
    <w:p w14:paraId="75B80E47">
      <w:pPr>
        <w:ind w:firstLine="0" w:firstLineChars="0"/>
        <w:rPr>
          <w:rFonts w:hint="eastAsia"/>
          <w:lang w:val="en-US"/>
        </w:rPr>
      </w:pPr>
    </w:p>
    <w:p w14:paraId="75B80E48">
      <w:pPr>
        <w:spacing w:line="240" w:lineRule="auto"/>
        <w:ind w:firstLine="0" w:firstLineChars="0"/>
        <w:rPr>
          <w:rFonts w:hint="eastAsia"/>
        </w:rPr>
      </w:pPr>
    </w:p>
    <w:p w14:paraId="75B80E49">
      <w:pPr>
        <w:spacing w:line="240" w:lineRule="auto"/>
        <w:ind w:firstLine="0" w:firstLineChars="0"/>
        <w:rPr>
          <w:rFonts w:hint="eastAsia"/>
          <w:lang w:val="en-US"/>
        </w:rPr>
      </w:pPr>
    </w:p>
    <w:p w14:paraId="75B80E4A">
      <w:pPr>
        <w:spacing w:line="240" w:lineRule="auto"/>
        <w:ind w:firstLine="0" w:firstLineChars="0"/>
        <w:rPr>
          <w:rFonts w:hint="eastAsia"/>
          <w:lang w:val="en-US"/>
        </w:rPr>
      </w:pPr>
    </w:p>
    <w:p w14:paraId="75B80E4B">
      <w:pPr>
        <w:spacing w:line="240" w:lineRule="auto"/>
        <w:ind w:firstLine="0" w:firstLineChars="0"/>
        <w:rPr>
          <w:rFonts w:hint="eastAsia"/>
          <w:lang w:val="en-US"/>
        </w:rPr>
        <w:sectPr>
          <w:footerReference r:id="rId18" w:type="default"/>
          <w:pgSz w:w="11906" w:h="16838"/>
          <w:pgMar w:top="1440" w:right="1797" w:bottom="1440" w:left="1797" w:header="851" w:footer="992" w:gutter="0"/>
          <w:cols w:space="425" w:num="1"/>
          <w:docGrid w:type="linesAndChars" w:linePitch="312" w:charSpace="0"/>
        </w:sectPr>
      </w:pPr>
      <w:r>
        <w:rPr>
          <w:lang w:val="en-US"/>
        </w:rPr>
        <w:drawing>
          <wp:anchor distT="0" distB="0" distL="114300" distR="114300" simplePos="0" relativeHeight="251665408" behindDoc="0" locked="0" layoutInCell="1" allowOverlap="1">
            <wp:simplePos x="0" y="0"/>
            <wp:positionH relativeFrom="column">
              <wp:posOffset>0</wp:posOffset>
            </wp:positionH>
            <wp:positionV relativeFrom="paragraph">
              <wp:posOffset>5080</wp:posOffset>
            </wp:positionV>
            <wp:extent cx="5278120" cy="7452360"/>
            <wp:effectExtent l="0" t="0" r="5080" b="2540"/>
            <wp:wrapTopAndBottom/>
            <wp:docPr id="36" name="图片 19" descr="图示, 示意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9" descr="图示, 示意图&#10;&#10;AI 生成的内容可能不正确。"/>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a:xfrm>
                      <a:off x="0" y="0"/>
                      <a:ext cx="5278120" cy="7452360"/>
                    </a:xfrm>
                    <a:prstGeom prst="rect">
                      <a:avLst/>
                    </a:prstGeom>
                    <a:noFill/>
                    <a:ln>
                      <a:noFill/>
                    </a:ln>
                  </pic:spPr>
                </pic:pic>
              </a:graphicData>
            </a:graphic>
          </wp:anchor>
        </w:drawing>
      </w:r>
    </w:p>
    <w:p w14:paraId="75B80E4C">
      <w:pPr>
        <w:pStyle w:val="37"/>
        <w:ind w:firstLine="200"/>
      </w:pPr>
      <w:r>
        <w:drawing>
          <wp:inline distT="0" distB="0" distL="0" distR="0">
            <wp:extent cx="5278120" cy="7452360"/>
            <wp:effectExtent l="0" t="0" r="5080" b="2540"/>
            <wp:docPr id="38" name="图片 20"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0" descr="图示&#10;&#10;AI 生成的内容可能不正确。"/>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a:xfrm>
                      <a:off x="0" y="0"/>
                      <a:ext cx="5278120" cy="7452360"/>
                    </a:xfrm>
                    <a:prstGeom prst="rect">
                      <a:avLst/>
                    </a:prstGeom>
                    <a:noFill/>
                    <a:ln>
                      <a:noFill/>
                    </a:ln>
                  </pic:spPr>
                </pic:pic>
              </a:graphicData>
            </a:graphic>
          </wp:inline>
        </w:drawing>
      </w:r>
    </w:p>
    <w:p w14:paraId="75B80E4D">
      <w:pPr>
        <w:pStyle w:val="18"/>
        <w:ind w:firstLine="480"/>
        <w:rPr>
          <w:rFonts w:hint="eastAsia"/>
        </w:rPr>
      </w:pPr>
    </w:p>
    <w:p w14:paraId="75B80E4E">
      <w:pPr>
        <w:ind w:firstLine="480"/>
        <w:rPr>
          <w:rFonts w:hint="eastAsia"/>
        </w:rPr>
        <w:sectPr>
          <w:footerReference r:id="rId19" w:type="default"/>
          <w:pgSz w:w="11906" w:h="16838"/>
          <w:pgMar w:top="1440" w:right="1797" w:bottom="1440" w:left="1797" w:header="851" w:footer="992" w:gutter="0"/>
          <w:cols w:space="425" w:num="1"/>
          <w:docGrid w:type="linesAndChars" w:linePitch="312" w:charSpace="0"/>
        </w:sectPr>
      </w:pPr>
    </w:p>
    <w:p w14:paraId="75B81089">
      <w:pPr>
        <w:pStyle w:val="2"/>
        <w:numPr>
          <w:ilvl w:val="0"/>
          <w:numId w:val="0"/>
        </w:numPr>
        <w:rPr>
          <w:rFonts w:hint="eastAsia"/>
        </w:rPr>
      </w:pPr>
      <w:bookmarkStart w:id="294" w:name="_Toc218855250"/>
      <w:r>
        <w:rPr>
          <w:rFonts w:hint="eastAsia"/>
          <w:sz w:val="20"/>
        </w:rPr>
        <w:drawing>
          <wp:anchor distT="0" distB="0" distL="0" distR="0" simplePos="0" relativeHeight="251660288" behindDoc="0" locked="0" layoutInCell="1" allowOverlap="1">
            <wp:simplePos x="0" y="0"/>
            <wp:positionH relativeFrom="page">
              <wp:posOffset>-19050</wp:posOffset>
            </wp:positionH>
            <wp:positionV relativeFrom="paragraph">
              <wp:posOffset>-924560</wp:posOffset>
            </wp:positionV>
            <wp:extent cx="3752850" cy="3270250"/>
            <wp:effectExtent l="0" t="0" r="11430" b="6350"/>
            <wp:wrapNone/>
            <wp:docPr id="1255" name="图片 93205"/>
            <wp:cNvGraphicFramePr/>
            <a:graphic xmlns:a="http://schemas.openxmlformats.org/drawingml/2006/main">
              <a:graphicData uri="http://schemas.openxmlformats.org/drawingml/2006/picture">
                <pic:pic xmlns:pic="http://schemas.openxmlformats.org/drawingml/2006/picture">
                  <pic:nvPicPr>
                    <pic:cNvPr id="1255" name="图片 93205"/>
                    <pic:cNvPicPr/>
                  </pic:nvPicPr>
                  <pic:blipFill>
                    <a:blip r:embed="rId84" cstate="print"/>
                    <a:srcRect/>
                    <a:stretch>
                      <a:fillRect/>
                    </a:stretch>
                  </pic:blipFill>
                  <pic:spPr>
                    <a:xfrm>
                      <a:off x="0" y="0"/>
                      <a:ext cx="3752850" cy="3270250"/>
                    </a:xfrm>
                    <a:prstGeom prst="rect">
                      <a:avLst/>
                    </a:prstGeom>
                    <a:ln>
                      <a:noFill/>
                    </a:ln>
                  </pic:spPr>
                </pic:pic>
              </a:graphicData>
            </a:graphic>
          </wp:anchor>
        </w:drawing>
      </w:r>
      <w:bookmarkEnd w:id="294"/>
    </w:p>
    <w:p w14:paraId="75B8108A">
      <w:pPr>
        <w:ind w:firstLine="480"/>
        <w:rPr>
          <w:rFonts w:hint="eastAsia"/>
        </w:rPr>
      </w:pPr>
    </w:p>
    <w:p w14:paraId="75B8108B">
      <w:pPr>
        <w:ind w:firstLine="400"/>
        <w:rPr>
          <w:rFonts w:hint="eastAsia"/>
        </w:rPr>
      </w:pPr>
      <w:r>
        <w:rPr>
          <w:rFonts w:hint="eastAsia"/>
          <w:sz w:val="20"/>
        </w:rPr>
        <mc:AlternateContent>
          <mc:Choice Requires="wpg">
            <w:drawing>
              <wp:anchor distT="0" distB="0" distL="0" distR="0" simplePos="0" relativeHeight="251661312" behindDoc="1" locked="0" layoutInCell="1" allowOverlap="1">
                <wp:simplePos x="0" y="0"/>
                <wp:positionH relativeFrom="margin">
                  <wp:posOffset>-969010</wp:posOffset>
                </wp:positionH>
                <wp:positionV relativeFrom="paragraph">
                  <wp:posOffset>3402330</wp:posOffset>
                </wp:positionV>
                <wp:extent cx="4782185" cy="5565140"/>
                <wp:effectExtent l="0" t="0" r="3175" b="12700"/>
                <wp:wrapNone/>
                <wp:docPr id="142" name="组合 93202"/>
                <wp:cNvGraphicFramePr/>
                <a:graphic xmlns:a="http://schemas.openxmlformats.org/drawingml/2006/main">
                  <a:graphicData uri="http://schemas.microsoft.com/office/word/2010/wordprocessingGroup">
                    <wpg:wgp>
                      <wpg:cNvGrpSpPr/>
                      <wpg:grpSpPr>
                        <a:xfrm>
                          <a:off x="0" y="0"/>
                          <a:ext cx="4782185" cy="5565140"/>
                          <a:chOff x="0" y="-388"/>
                          <a:chExt cx="7531" cy="8764"/>
                        </a:xfrm>
                      </wpg:grpSpPr>
                      <pic:pic xmlns:pic="http://schemas.openxmlformats.org/drawingml/2006/picture">
                        <pic:nvPicPr>
                          <pic:cNvPr id="143" name="Image"/>
                          <pic:cNvPicPr/>
                        </pic:nvPicPr>
                        <pic:blipFill>
                          <a:blip r:embed="rId85" cstate="print"/>
                          <a:srcRect/>
                          <a:stretch>
                            <a:fillRect/>
                          </a:stretch>
                        </pic:blipFill>
                        <pic:spPr>
                          <a:xfrm>
                            <a:off x="7338" y="900"/>
                            <a:ext cx="193" cy="188"/>
                          </a:xfrm>
                          <a:prstGeom prst="rect">
                            <a:avLst/>
                          </a:prstGeom>
                          <a:ln>
                            <a:noFill/>
                          </a:ln>
                        </pic:spPr>
                      </pic:pic>
                      <pic:pic xmlns:pic="http://schemas.openxmlformats.org/drawingml/2006/picture">
                        <pic:nvPicPr>
                          <pic:cNvPr id="144" name="Image"/>
                          <pic:cNvPicPr/>
                        </pic:nvPicPr>
                        <pic:blipFill>
                          <a:blip r:embed="rId86" cstate="print"/>
                          <a:srcRect/>
                          <a:stretch>
                            <a:fillRect/>
                          </a:stretch>
                        </pic:blipFill>
                        <pic:spPr>
                          <a:xfrm>
                            <a:off x="0" y="-388"/>
                            <a:ext cx="7531" cy="8764"/>
                          </a:xfrm>
                          <a:prstGeom prst="rect">
                            <a:avLst/>
                          </a:prstGeom>
                          <a:ln>
                            <a:noFill/>
                          </a:ln>
                        </pic:spPr>
                      </pic:pic>
                    </wpg:wgp>
                  </a:graphicData>
                </a:graphic>
              </wp:anchor>
            </w:drawing>
          </mc:Choice>
          <mc:Fallback>
            <w:pict>
              <v:group id="组合 93202" o:spid="_x0000_s1026" o:spt="203" style="position:absolute;left:0pt;margin-left:-76.3pt;margin-top:267.9pt;height:438.2pt;width:376.55pt;mso-position-horizontal-relative:margin;z-index:-251655168;mso-width-relative:page;mso-height-relative:page;" coordorigin="0,-388" coordsize="7531,8764" o:gfxdata="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">
                <o:lock v:ext="edit" aspectratio="f"/>
                <v:shape id="Image" o:spid="_x0000_s1026" o:spt="75" type="#_x0000_t75" style="position:absolute;left:7338;top:900;height:188;width:193;" filled="f" o:preferrelative="t" stroked="f" coordsize="21600,21600" o:gfxdata="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0LNqG8AAAA&#10;3AAAAA8AAAAAAAAAAQAgAAAAIgAAAGRycy9kb3ducmV2LnhtbFBLAQIUABQAAAAIAIdO4kAzLwWe&#10;OwAAADkAAAAQAAAAAAAAAAEAIAAAAAsBAABkcnMvc2hhcGV4bWwueG1sUEsFBgAAAAAGAAYAWwEA&#10;ALUDAAAAAA==&#10;">
                  <v:fill on="f" focussize="0,0"/>
                  <v:stroke on="f"/>
                  <v:imagedata r:id="rId85" o:title=""/>
                  <o:lock v:ext="edit" aspectratio="f"/>
                </v:shape>
                <v:shape id="Image" o:spid="_x0000_s1026" o:spt="75" type="#_x0000_t75" style="position:absolute;left:0;top:-388;height:8764;width:7531;" filled="f" o:preferrelative="t" stroked="f" coordsize="21600,21600" o:gfxdata="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feYU7sAAADc&#10;AAAADwAAAAAAAAABACAAAAAiAAAAZHJzL2Rvd25yZXYueG1sUEsBAhQAFAAAAAgAh07iQDMvBZ47&#10;AAAAOQAAABAAAAAAAAAAAQAgAAAACgEAAGRycy9zaGFwZXhtbC54bWxQSwUGAAAAAAYABgBbAQAA&#10;tAMAAAAA&#10;">
                  <v:fill on="f" focussize="0,0"/>
                  <v:stroke on="f"/>
                  <v:imagedata r:id="rId86" o:title=""/>
                  <o:lock v:ext="edit" aspectratio="f"/>
                </v:shape>
              </v:group>
            </w:pict>
          </mc:Fallback>
        </mc:AlternateContent>
      </w:r>
    </w:p>
    <w:p w14:paraId="75B8108C">
      <w:pPr>
        <w:ind w:firstLine="480"/>
        <w:rPr>
          <w:rFonts w:hint="eastAsia"/>
          <w:lang w:val="en-US"/>
        </w:rPr>
      </w:pPr>
    </w:p>
    <w:p w14:paraId="75B8108D">
      <w:pPr>
        <w:spacing w:line="360" w:lineRule="auto"/>
        <w:ind w:firstLine="480"/>
        <w:rPr>
          <w:rFonts w:hint="eastAsia" w:ascii="华文中宋" w:hAnsi="华文中宋" w:eastAsia="华文中宋" w:cs="华文中宋"/>
          <w:szCs w:val="24"/>
        </w:rPr>
      </w:pPr>
      <w:r>
        <w:rPr>
          <w:rFonts w:hint="eastAsia"/>
        </w:rPr>
        <w:drawing>
          <wp:anchor distT="0" distB="0" distL="0" distR="0" simplePos="0" relativeHeight="251671552" behindDoc="0" locked="0" layoutInCell="1" allowOverlap="1">
            <wp:simplePos x="0" y="0"/>
            <wp:positionH relativeFrom="margin">
              <wp:posOffset>1914525</wp:posOffset>
            </wp:positionH>
            <wp:positionV relativeFrom="paragraph">
              <wp:posOffset>1273175</wp:posOffset>
            </wp:positionV>
            <wp:extent cx="1415415" cy="1415415"/>
            <wp:effectExtent l="0" t="0" r="6985" b="6985"/>
            <wp:wrapNone/>
            <wp:docPr id="1256" name="图片 93201"/>
            <wp:cNvGraphicFramePr/>
            <a:graphic xmlns:a="http://schemas.openxmlformats.org/drawingml/2006/main">
              <a:graphicData uri="http://schemas.openxmlformats.org/drawingml/2006/picture">
                <pic:pic xmlns:pic="http://schemas.openxmlformats.org/drawingml/2006/picture">
                  <pic:nvPicPr>
                    <pic:cNvPr id="1256" name="图片 93201"/>
                    <pic:cNvPicPr/>
                  </pic:nvPicPr>
                  <pic:blipFill>
                    <a:blip r:embed="rId87" cstate="print"/>
                    <a:srcRect/>
                    <a:stretch>
                      <a:fillRect/>
                    </a:stretch>
                  </pic:blipFill>
                  <pic:spPr>
                    <a:xfrm>
                      <a:off x="0" y="0"/>
                      <a:ext cx="1415415" cy="1415415"/>
                    </a:xfrm>
                    <a:prstGeom prst="rect">
                      <a:avLst/>
                    </a:prstGeom>
                    <a:ln>
                      <a:noFill/>
                    </a:ln>
                  </pic:spPr>
                </pic:pic>
              </a:graphicData>
            </a:graphic>
          </wp:anchor>
        </w:drawing>
      </w:r>
      <w:r>
        <w:rPr>
          <w:rFonts w:hint="eastAsia"/>
        </w:rPr>
        <mc:AlternateContent>
          <mc:Choice Requires="wpg">
            <w:drawing>
              <wp:anchor distT="0" distB="0" distL="0" distR="0" simplePos="0" relativeHeight="251672576" behindDoc="0" locked="0" layoutInCell="1" allowOverlap="1">
                <wp:simplePos x="0" y="0"/>
                <wp:positionH relativeFrom="margin">
                  <wp:posOffset>389255</wp:posOffset>
                </wp:positionH>
                <wp:positionV relativeFrom="margin">
                  <wp:posOffset>4552950</wp:posOffset>
                </wp:positionV>
                <wp:extent cx="4488180" cy="1168400"/>
                <wp:effectExtent l="0" t="0" r="0" b="0"/>
                <wp:wrapNone/>
                <wp:docPr id="9" name="组合 93189"/>
                <wp:cNvGraphicFramePr/>
                <a:graphic xmlns:a="http://schemas.openxmlformats.org/drawingml/2006/main">
                  <a:graphicData uri="http://schemas.microsoft.com/office/word/2010/wordprocessingGroup">
                    <wpg:wgp>
                      <wpg:cNvGrpSpPr/>
                      <wpg:grpSpPr>
                        <a:xfrm>
                          <a:off x="0" y="0"/>
                          <a:ext cx="4488180" cy="1168400"/>
                          <a:chOff x="0" y="0"/>
                          <a:chExt cx="4908072" cy="1169160"/>
                        </a:xfrm>
                      </wpg:grpSpPr>
                      <wpg:grpSp>
                        <wpg:cNvPr id="12" name="组合 76"/>
                        <wpg:cNvGrpSpPr/>
                        <wpg:grpSpPr>
                          <a:xfrm>
                            <a:off x="94891" y="577777"/>
                            <a:ext cx="4813181" cy="591383"/>
                            <a:chOff x="0" y="-193"/>
                            <a:chExt cx="4813181" cy="591383"/>
                          </a:xfrm>
                        </wpg:grpSpPr>
                        <wpg:grpSp>
                          <wpg:cNvPr id="16" name="组合 77"/>
                          <wpg:cNvGrpSpPr/>
                          <wpg:grpSpPr>
                            <a:xfrm>
                              <a:off x="0" y="69011"/>
                              <a:ext cx="3491512" cy="233680"/>
                              <a:chOff x="0" y="0"/>
                              <a:chExt cx="3491512" cy="233680"/>
                            </a:xfrm>
                          </wpg:grpSpPr>
                          <pic:pic xmlns:pic="http://schemas.openxmlformats.org/drawingml/2006/picture">
                            <pic:nvPicPr>
                              <pic:cNvPr id="147" name="Image"/>
                              <pic:cNvPicPr/>
                            </pic:nvPicPr>
                            <pic:blipFill>
                              <a:blip r:embed="rId88" cstate="print"/>
                              <a:srcRect/>
                              <a:stretch>
                                <a:fillRect/>
                              </a:stretch>
                            </pic:blipFill>
                            <pic:spPr>
                              <a:xfrm>
                                <a:off x="0" y="0"/>
                                <a:ext cx="229870" cy="233680"/>
                              </a:xfrm>
                              <a:prstGeom prst="rect">
                                <a:avLst/>
                              </a:prstGeom>
                            </pic:spPr>
                          </pic:pic>
                          <pic:pic xmlns:pic="http://schemas.openxmlformats.org/drawingml/2006/picture">
                            <pic:nvPicPr>
                              <pic:cNvPr id="148" name="Image"/>
                              <pic:cNvPicPr/>
                            </pic:nvPicPr>
                            <pic:blipFill>
                              <a:blip r:embed="rId89" cstate="print"/>
                              <a:srcRect/>
                              <a:stretch>
                                <a:fillRect/>
                              </a:stretch>
                            </pic:blipFill>
                            <pic:spPr>
                              <a:xfrm>
                                <a:off x="3261642" y="0"/>
                                <a:ext cx="229870" cy="233680"/>
                              </a:xfrm>
                              <a:prstGeom prst="rect">
                                <a:avLst/>
                              </a:prstGeom>
                            </pic:spPr>
                          </pic:pic>
                          <pic:pic xmlns:pic="http://schemas.openxmlformats.org/drawingml/2006/picture">
                            <pic:nvPicPr>
                              <pic:cNvPr id="149" name="Image"/>
                              <pic:cNvPicPr/>
                            </pic:nvPicPr>
                            <pic:blipFill>
                              <a:blip r:embed="rId90" cstate="print"/>
                              <a:srcRect/>
                              <a:stretch>
                                <a:fillRect/>
                              </a:stretch>
                            </pic:blipFill>
                            <pic:spPr>
                              <a:xfrm>
                                <a:off x="1431985" y="0"/>
                                <a:ext cx="229870" cy="233680"/>
                              </a:xfrm>
                              <a:prstGeom prst="rect">
                                <a:avLst/>
                              </a:prstGeom>
                            </pic:spPr>
                          </pic:pic>
                        </wpg:grpSp>
                        <wps:wsp>
                          <wps:cNvPr id="150" name="矩形 78"/>
                          <wps:cNvSpPr/>
                          <wps:spPr>
                            <a:xfrm>
                              <a:off x="232627" y="16954"/>
                              <a:ext cx="1262433" cy="471855"/>
                            </a:xfrm>
                            <a:prstGeom prst="rect">
                              <a:avLst/>
                            </a:prstGeom>
                            <a:ln>
                              <a:noFill/>
                            </a:ln>
                          </wps:spPr>
                          <wps:txbx>
                            <w:txbxContent>
                              <w:p w14:paraId="75B8115A">
                                <w:pPr>
                                  <w:spacing w:line="200" w:lineRule="exact"/>
                                  <w:ind w:firstLine="360"/>
                                  <w:rPr>
                                    <w:rFonts w:hint="eastAsia"/>
                                    <w:sz w:val="18"/>
                                    <w:szCs w:val="15"/>
                                  </w:rPr>
                                </w:pPr>
                                <w:r>
                                  <w:rPr>
                                    <w:rFonts w:hint="eastAsia"/>
                                    <w:sz w:val="18"/>
                                    <w:szCs w:val="15"/>
                                  </w:rPr>
                                  <w:t>0730</w:t>
                                </w:r>
                                <w:r>
                                  <w:rPr>
                                    <w:sz w:val="18"/>
                                    <w:szCs w:val="15"/>
                                  </w:rPr>
                                  <w:t>-</w:t>
                                </w:r>
                                <w:r>
                                  <w:rPr>
                                    <w:rFonts w:hint="eastAsia"/>
                                    <w:sz w:val="18"/>
                                    <w:szCs w:val="15"/>
                                  </w:rPr>
                                  <w:t>8186508</w:t>
                                </w:r>
                              </w:p>
                              <w:p w14:paraId="75B8115B">
                                <w:pPr>
                                  <w:spacing w:line="200" w:lineRule="exact"/>
                                  <w:ind w:firstLine="360"/>
                                  <w:rPr>
                                    <w:rFonts w:hint="eastAsia"/>
                                    <w:sz w:val="18"/>
                                    <w:szCs w:val="15"/>
                                  </w:rPr>
                                </w:pPr>
                                <w:r>
                                  <w:rPr>
                                    <w:rFonts w:hint="eastAsia"/>
                                    <w:sz w:val="18"/>
                                    <w:szCs w:val="15"/>
                                  </w:rPr>
                                  <w:t>17873006688</w:t>
                                </w:r>
                              </w:p>
                            </w:txbxContent>
                          </wps:txbx>
                          <wps:bodyPr vert="horz" wrap="square" lIns="91440" tIns="45720" rIns="91440" bIns="45720" anchor="t">
                            <a:noAutofit/>
                          </wps:bodyPr>
                        </wps:wsp>
                        <wps:wsp>
                          <wps:cNvPr id="151" name="矩形 79"/>
                          <wps:cNvSpPr/>
                          <wps:spPr>
                            <a:xfrm>
                              <a:off x="1776294" y="16958"/>
                              <a:ext cx="1454332" cy="574232"/>
                            </a:xfrm>
                            <a:prstGeom prst="rect">
                              <a:avLst/>
                            </a:prstGeom>
                            <a:ln>
                              <a:noFill/>
                            </a:ln>
                          </wps:spPr>
                          <wps:txbx>
                            <w:txbxContent>
                              <w:p w14:paraId="75B8115C">
                                <w:pPr>
                                  <w:spacing w:line="200" w:lineRule="exact"/>
                                  <w:ind w:firstLine="0" w:firstLineChars="0"/>
                                  <w:rPr>
                                    <w:rFonts w:hint="eastAsia" w:ascii="方正准圆简体" w:eastAsia="方正准圆简体"/>
                                    <w:sz w:val="18"/>
                                    <w:szCs w:val="15"/>
                                    <w:lang w:val="en-US"/>
                                  </w:rPr>
                                </w:pPr>
                                <w:r>
                                  <w:rPr>
                                    <w:rFonts w:hint="eastAsia" w:ascii="方正准圆简体" w:eastAsia="方正准圆简体"/>
                                    <w:sz w:val="18"/>
                                    <w:szCs w:val="15"/>
                                  </w:rPr>
                                  <w:t>地址：湖南省岳阳市岳阳楼区</w:t>
                                </w:r>
                                <w:r>
                                  <w:rPr>
                                    <w:rFonts w:hint="eastAsia" w:ascii="方正准圆简体" w:eastAsia="方正准圆简体"/>
                                    <w:sz w:val="18"/>
                                    <w:szCs w:val="15"/>
                                    <w:lang w:val="en-US"/>
                                  </w:rPr>
                                  <w:t>南湖大道421号</w:t>
                                </w:r>
                              </w:p>
                              <w:p w14:paraId="75B8115D">
                                <w:pPr>
                                  <w:ind w:firstLine="480"/>
                                  <w:rPr>
                                    <w:rFonts w:hint="eastAsia"/>
                                  </w:rPr>
                                </w:pPr>
                              </w:p>
                            </w:txbxContent>
                          </wps:txbx>
                          <wps:bodyPr vert="horz" wrap="square" lIns="91440" tIns="45720" rIns="91440" bIns="45720" anchor="t">
                            <a:noAutofit/>
                          </wps:bodyPr>
                        </wps:wsp>
                        <wps:wsp>
                          <wps:cNvPr id="152" name="矩形 80"/>
                          <wps:cNvSpPr/>
                          <wps:spPr>
                            <a:xfrm>
                              <a:off x="3320812" y="-193"/>
                              <a:ext cx="1492369" cy="388058"/>
                            </a:xfrm>
                            <a:prstGeom prst="rect">
                              <a:avLst/>
                            </a:prstGeom>
                            <a:ln>
                              <a:noFill/>
                            </a:ln>
                          </wps:spPr>
                          <wps:txbx>
                            <w:txbxContent>
                              <w:p w14:paraId="75B8115E">
                                <w:pPr>
                                  <w:spacing w:line="200" w:lineRule="exact"/>
                                  <w:ind w:firstLine="400"/>
                                  <w:rPr>
                                    <w:rFonts w:hint="eastAsia" w:ascii="方正准圆简体" w:eastAsia="方正准圆简体"/>
                                    <w:sz w:val="20"/>
                                    <w:szCs w:val="15"/>
                                  </w:rPr>
                                </w:pPr>
                                <w:r>
                                  <w:rPr>
                                    <w:rFonts w:ascii="方正准圆简体" w:eastAsia="方正准圆简体"/>
                                    <w:sz w:val="20"/>
                                    <w:szCs w:val="15"/>
                                  </w:rPr>
                                  <w:t>www.dafuzx.com</w:t>
                                </w:r>
                              </w:p>
                              <w:p w14:paraId="75B8115F">
                                <w:pPr>
                                  <w:spacing w:line="200" w:lineRule="exact"/>
                                  <w:ind w:firstLine="400"/>
                                  <w:rPr>
                                    <w:rFonts w:hint="eastAsia" w:ascii="方正准圆简体" w:eastAsia="方正准圆简体"/>
                                    <w:sz w:val="20"/>
                                    <w:szCs w:val="15"/>
                                  </w:rPr>
                                </w:pPr>
                                <w:r>
                                  <w:rPr>
                                    <w:rFonts w:ascii="方正准圆简体" w:eastAsia="方正准圆简体"/>
                                    <w:sz w:val="20"/>
                                    <w:szCs w:val="15"/>
                                  </w:rPr>
                                  <w:t>www.e-pgm.com</w:t>
                                </w:r>
                              </w:p>
                              <w:p w14:paraId="75B81160">
                                <w:pPr>
                                  <w:spacing w:line="200" w:lineRule="exact"/>
                                  <w:ind w:firstLine="400"/>
                                  <w:rPr>
                                    <w:rFonts w:hint="eastAsia" w:ascii="方正准圆简体" w:eastAsia="方正准圆简体"/>
                                    <w:sz w:val="20"/>
                                    <w:szCs w:val="15"/>
                                  </w:rPr>
                                </w:pPr>
                              </w:p>
                              <w:p w14:paraId="75B81161">
                                <w:pPr>
                                  <w:ind w:firstLine="560"/>
                                  <w:rPr>
                                    <w:rFonts w:hint="eastAsia"/>
                                    <w:sz w:val="28"/>
                                  </w:rPr>
                                </w:pPr>
                              </w:p>
                            </w:txbxContent>
                          </wps:txbx>
                          <wps:bodyPr vert="horz" wrap="square" lIns="91440" tIns="45720" rIns="91440" bIns="45720" anchor="t">
                            <a:noAutofit/>
                          </wps:bodyPr>
                        </wps:wsp>
                      </wpg:grpSp>
                      <wpg:grpSp>
                        <wpg:cNvPr id="20" name="组合 81"/>
                        <wpg:cNvGrpSpPr/>
                        <wpg:grpSpPr>
                          <a:xfrm>
                            <a:off x="0" y="0"/>
                            <a:ext cx="4580627" cy="497204"/>
                            <a:chOff x="0" y="0"/>
                            <a:chExt cx="4580627" cy="497204"/>
                          </a:xfrm>
                        </wpg:grpSpPr>
                        <wps:wsp>
                          <wps:cNvPr id="154" name="矩形 82"/>
                          <wps:cNvSpPr/>
                          <wps:spPr>
                            <a:xfrm>
                              <a:off x="0" y="0"/>
                              <a:ext cx="4580627" cy="497204"/>
                            </a:xfrm>
                            <a:prstGeom prst="rect">
                              <a:avLst/>
                            </a:prstGeom>
                            <a:ln>
                              <a:noFill/>
                            </a:ln>
                          </wps:spPr>
                          <wps:txbx>
                            <w:txbxContent>
                              <w:p w14:paraId="75B81162">
                                <w:pPr>
                                  <w:ind w:firstLine="170" w:firstLineChars="50"/>
                                  <w:jc w:val="center"/>
                                  <w:rPr>
                                    <w:rFonts w:hint="eastAsia"/>
                                    <w:color w:val="000000"/>
                                    <w:sz w:val="34"/>
                                    <w:szCs w:val="11"/>
                                  </w:rPr>
                                </w:pPr>
                                <w:r>
                                  <w:rPr>
                                    <w:rFonts w:hint="eastAsia"/>
                                    <w:color w:val="000000"/>
                                    <w:sz w:val="34"/>
                                    <w:szCs w:val="11"/>
                                  </w:rPr>
                                  <w:t>湖南大福信息技术咨询有限公司</w:t>
                                </w:r>
                              </w:p>
                            </w:txbxContent>
                          </wps:txbx>
                          <wps:bodyPr vert="horz" wrap="square" lIns="91440" tIns="45720" rIns="91440" bIns="45720" anchor="t">
                            <a:noAutofit/>
                          </wps:bodyPr>
                        </wps:wsp>
                        <wps:wsp>
                          <wps:cNvPr id="155" name="直接连接符 83"/>
                          <wps:cNvCnPr/>
                          <wps:spPr>
                            <a:xfrm>
                              <a:off x="51759" y="483079"/>
                              <a:ext cx="4528868" cy="0"/>
                            </a:xfrm>
                            <a:prstGeom prst="line">
                              <a:avLst/>
                            </a:prstGeom>
                            <a:ln w="9525" cap="flat" cmpd="sng">
                              <a:solidFill>
                                <a:srgbClr val="000000"/>
                              </a:solidFill>
                              <a:prstDash val="solid"/>
                              <a:round/>
                              <a:headEnd type="none" w="med" len="med"/>
                              <a:tailEnd type="none" w="med" len="med"/>
                            </a:ln>
                          </wps:spPr>
                          <wps:bodyPr/>
                        </wps:wsp>
                      </wpg:grpSp>
                    </wpg:wgp>
                  </a:graphicData>
                </a:graphic>
              </wp:anchor>
            </w:drawing>
          </mc:Choice>
          <mc:Fallback>
            <w:pict>
              <v:group id="组合 93189" o:spid="_x0000_s1026" o:spt="203" style="position:absolute;left:0pt;margin-left:30.65pt;margin-top:358.5pt;height:92pt;width:353.4pt;mso-position-horizontal-relative:margin;mso-position-vertical-relative:margin;z-index:251672576;mso-width-relative:page;mso-height-relative:page;" coordsize="4908072,1169160" o:gfxdata="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">
                <o:lock v:ext="edit" aspectratio="f"/>
                <v:group id="组合 76" o:spid="_x0000_s1026" o:spt="203" style="position:absolute;left:94891;top:577777;height:591383;width:4813181;" coordorigin="0,-193" coordsize="4813181,591383" o:gfxdata="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tkKr5vAAAANsAAAAPAAAAAAAAAAEAIAAAACIAAABkcnMvZG93bnJldi54bWxQ&#10;SwECFAAUAAAACACHTuJAMy8FnjsAAAA5AAAAFQAAAAAAAAABACAAAAALAQAAZHJzL2dyb3Vwc2hh&#10;cGV4bWwueG1sUEsFBgAAAAAGAAYAYAEAAMgDAAAAAA==&#10;">
                  <o:lock v:ext="edit" aspectratio="f"/>
                  <v:group id="组合 77" o:spid="_x0000_s1026" o:spt="203" style="position:absolute;left:0;top:69011;height:233680;width:3491512;" coordsize="3491512,233680" o:gfxdata="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KrrPq7AAAA2wAAAA8AAAAAAAAAAQAgAAAAIgAAAGRycy9kb3ducmV2LnhtbFBL&#10;AQIUABQAAAAIAIdO4kAzLwWeOwAAADkAAAAVAAAAAAAAAAEAIAAAAAoBAABkcnMvZ3JvdXBzaGFw&#10;ZXhtbC54bWxQSwUGAAAAAAYABgBgAQAAxwMAAAAA&#10;">
                    <o:lock v:ext="edit" aspectratio="f"/>
                    <v:shape id="Image" o:spid="_x0000_s1026" o:spt="75" type="#_x0000_t75" style="position:absolute;left:0;top:0;height:233680;width:229870;" filled="f" o:preferrelative="t" stroked="f" coordsize="21600,21600" o:gfxdata="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8kfovQAA&#10;ANwAAAAPAAAAAAAAAAEAIAAAACIAAABkcnMvZG93bnJldi54bWxQSwECFAAUAAAACACHTuJAMy8F&#10;njsAAAA5AAAAEAAAAAAAAAABACAAAAAMAQAAZHJzL3NoYXBleG1sLnhtbFBLBQYAAAAABgAGAFsB&#10;AAC2AwAAAAA=&#10;">
                      <v:fill on="f" focussize="0,0"/>
                      <v:stroke on="f"/>
                      <v:imagedata r:id="rId88" o:title=""/>
                      <o:lock v:ext="edit" aspectratio="f"/>
                    </v:shape>
                    <v:shape id="Image" o:spid="_x0000_s1026" o:spt="75" type="#_x0000_t75" style="position:absolute;left:3261642;top:0;height:233680;width:229870;" filled="f" o:preferrelative="t" stroked="f" coordsize="21600,21600" o:gfxdata="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9W9k+/&#10;AAAA3AAAAA8AAAAAAAAAAQAgAAAAIgAAAGRycy9kb3ducmV2LnhtbFBLAQIUABQAAAAIAIdO4kAz&#10;LwWeOwAAADkAAAAQAAAAAAAAAAEAIAAAAA4BAABkcnMvc2hhcGV4bWwueG1sUEsFBgAAAAAGAAYA&#10;WwEAALgDAAAAAA==&#10;">
                      <v:fill on="f" focussize="0,0"/>
                      <v:stroke on="f"/>
                      <v:imagedata r:id="rId89" o:title=""/>
                      <o:lock v:ext="edit" aspectratio="f"/>
                    </v:shape>
                    <v:shape id="Image" o:spid="_x0000_s1026" o:spt="75" type="#_x0000_t75" style="position:absolute;left:1431985;top:0;height:233680;width:229870;" filled="f" o:preferrelative="t" stroked="f" coordsize="21600,21600" o:gfxdata="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3lBrvQAA&#10;ANwAAAAPAAAAAAAAAAEAIAAAACIAAABkcnMvZG93bnJldi54bWxQSwECFAAUAAAACACHTuJAMy8F&#10;njsAAAA5AAAAEAAAAAAAAAABACAAAAAMAQAAZHJzL3NoYXBleG1sLnhtbFBLBQYAAAAABgAGAFsB&#10;AAC2AwAAAAA=&#10;">
                      <v:fill on="f" focussize="0,0"/>
                      <v:stroke on="f"/>
                      <v:imagedata r:id="rId90" o:title=""/>
                      <o:lock v:ext="edit" aspectratio="f"/>
                    </v:shape>
                  </v:group>
                  <v:rect id="矩形 78" o:spid="_x0000_s1026" o:spt="1" style="position:absolute;left:232627;top:16954;height:471855;width:1262433;" filled="f" stroked="f" coordsize="21600,21600" o:gfxdata="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ufs4K/&#10;AAAA3AAAAA8AAAAAAAAAAQAgAAAAIgAAAGRycy9kb3ducmV2LnhtbFBLAQIUABQAAAAIAIdO4kAz&#10;LwWeOwAAADkAAAAQAAAAAAAAAAEAIAAAAA4BAABkcnMvc2hhcGV4bWwueG1sUEsFBgAAAAAGAAYA&#10;WwEAALgDAAAAAA==&#10;">
                    <v:fill on="f" focussize="0,0"/>
                    <v:stroke on="f"/>
                    <v:imagedata o:title=""/>
                    <o:lock v:ext="edit" aspectratio="f"/>
                    <v:textbox>
                      <w:txbxContent>
                        <w:p w14:paraId="75B8115A">
                          <w:pPr>
                            <w:spacing w:line="200" w:lineRule="exact"/>
                            <w:ind w:firstLine="360"/>
                            <w:rPr>
                              <w:rFonts w:hint="eastAsia"/>
                              <w:sz w:val="18"/>
                              <w:szCs w:val="15"/>
                            </w:rPr>
                          </w:pPr>
                          <w:r>
                            <w:rPr>
                              <w:rFonts w:hint="eastAsia"/>
                              <w:sz w:val="18"/>
                              <w:szCs w:val="15"/>
                            </w:rPr>
                            <w:t>0730</w:t>
                          </w:r>
                          <w:r>
                            <w:rPr>
                              <w:sz w:val="18"/>
                              <w:szCs w:val="15"/>
                            </w:rPr>
                            <w:t>-</w:t>
                          </w:r>
                          <w:r>
                            <w:rPr>
                              <w:rFonts w:hint="eastAsia"/>
                              <w:sz w:val="18"/>
                              <w:szCs w:val="15"/>
                            </w:rPr>
                            <w:t>8186508</w:t>
                          </w:r>
                        </w:p>
                        <w:p w14:paraId="75B8115B">
                          <w:pPr>
                            <w:spacing w:line="200" w:lineRule="exact"/>
                            <w:ind w:firstLine="360"/>
                            <w:rPr>
                              <w:rFonts w:hint="eastAsia"/>
                              <w:sz w:val="18"/>
                              <w:szCs w:val="15"/>
                            </w:rPr>
                          </w:pPr>
                          <w:r>
                            <w:rPr>
                              <w:rFonts w:hint="eastAsia"/>
                              <w:sz w:val="18"/>
                              <w:szCs w:val="15"/>
                            </w:rPr>
                            <w:t>17873006688</w:t>
                          </w:r>
                        </w:p>
                      </w:txbxContent>
                    </v:textbox>
                  </v:rect>
                  <v:rect id="矩形 79" o:spid="_x0000_s1026" o:spt="1" style="position:absolute;left:1776294;top:16958;height:574232;width:1454332;" filled="f" stroked="f" coordsize="21600,21600" o:gfxdata="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NMWGb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5B8115C">
                          <w:pPr>
                            <w:spacing w:line="200" w:lineRule="exact"/>
                            <w:ind w:firstLine="0" w:firstLineChars="0"/>
                            <w:rPr>
                              <w:rFonts w:hint="eastAsia" w:ascii="方正准圆简体" w:eastAsia="方正准圆简体"/>
                              <w:sz w:val="18"/>
                              <w:szCs w:val="15"/>
                              <w:lang w:val="en-US"/>
                            </w:rPr>
                          </w:pPr>
                          <w:r>
                            <w:rPr>
                              <w:rFonts w:hint="eastAsia" w:ascii="方正准圆简体" w:eastAsia="方正准圆简体"/>
                              <w:sz w:val="18"/>
                              <w:szCs w:val="15"/>
                            </w:rPr>
                            <w:t>地址：湖南省岳阳市岳阳楼区</w:t>
                          </w:r>
                          <w:r>
                            <w:rPr>
                              <w:rFonts w:hint="eastAsia" w:ascii="方正准圆简体" w:eastAsia="方正准圆简体"/>
                              <w:sz w:val="18"/>
                              <w:szCs w:val="15"/>
                              <w:lang w:val="en-US"/>
                            </w:rPr>
                            <w:t>南湖大道421号</w:t>
                          </w:r>
                        </w:p>
                        <w:p w14:paraId="75B8115D">
                          <w:pPr>
                            <w:ind w:firstLine="480"/>
                            <w:rPr>
                              <w:rFonts w:hint="eastAsia"/>
                            </w:rPr>
                          </w:pPr>
                        </w:p>
                      </w:txbxContent>
                    </v:textbox>
                  </v:rect>
                  <v:rect id="矩形 80" o:spid="_x0000_s1026" o:spt="1" style="position:absolute;left:3320812;top:-193;height:388058;width:1492369;" filled="f" stroked="f" coordsize="21600,21600" o:gfxdata="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AGIbr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5B8115E">
                          <w:pPr>
                            <w:spacing w:line="200" w:lineRule="exact"/>
                            <w:ind w:firstLine="400"/>
                            <w:rPr>
                              <w:rFonts w:hint="eastAsia" w:ascii="方正准圆简体" w:eastAsia="方正准圆简体"/>
                              <w:sz w:val="20"/>
                              <w:szCs w:val="15"/>
                            </w:rPr>
                          </w:pPr>
                          <w:r>
                            <w:rPr>
                              <w:rFonts w:ascii="方正准圆简体" w:eastAsia="方正准圆简体"/>
                              <w:sz w:val="20"/>
                              <w:szCs w:val="15"/>
                            </w:rPr>
                            <w:t>www.dafuzx.com</w:t>
                          </w:r>
                        </w:p>
                        <w:p w14:paraId="75B8115F">
                          <w:pPr>
                            <w:spacing w:line="200" w:lineRule="exact"/>
                            <w:ind w:firstLine="400"/>
                            <w:rPr>
                              <w:rFonts w:hint="eastAsia" w:ascii="方正准圆简体" w:eastAsia="方正准圆简体"/>
                              <w:sz w:val="20"/>
                              <w:szCs w:val="15"/>
                            </w:rPr>
                          </w:pPr>
                          <w:r>
                            <w:rPr>
                              <w:rFonts w:ascii="方正准圆简体" w:eastAsia="方正准圆简体"/>
                              <w:sz w:val="20"/>
                              <w:szCs w:val="15"/>
                            </w:rPr>
                            <w:t>www.e-pgm.com</w:t>
                          </w:r>
                        </w:p>
                        <w:p w14:paraId="75B81160">
                          <w:pPr>
                            <w:spacing w:line="200" w:lineRule="exact"/>
                            <w:ind w:firstLine="400"/>
                            <w:rPr>
                              <w:rFonts w:hint="eastAsia" w:ascii="方正准圆简体" w:eastAsia="方正准圆简体"/>
                              <w:sz w:val="20"/>
                              <w:szCs w:val="15"/>
                            </w:rPr>
                          </w:pPr>
                        </w:p>
                        <w:p w14:paraId="75B81161">
                          <w:pPr>
                            <w:ind w:firstLine="560"/>
                            <w:rPr>
                              <w:rFonts w:hint="eastAsia"/>
                              <w:sz w:val="28"/>
                            </w:rPr>
                          </w:pPr>
                        </w:p>
                      </w:txbxContent>
                    </v:textbox>
                  </v:rect>
                </v:group>
                <v:group id="组合 81" o:spid="_x0000_s1026" o:spt="203" style="position:absolute;left:0;top:0;height:497204;width:4580627;" coordsize="4580627,497204" o:gfxdata="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PGJbqLoAAADbAAAADwAAAAAAAAABACAAAAAiAAAAZHJzL2Rvd25yZXYueG1sUEsB&#10;AhQAFAAAAAgAh07iQDMvBZ47AAAAOQAAABUAAAAAAAAAAQAgAAAACQEAAGRycy9ncm91cHNoYXBl&#10;eG1sLnhtbFBLBQYAAAAABgAGAGABAADGAwAAAAA=&#10;">
                  <o:lock v:ext="edit" aspectratio="f"/>
                  <v:rect id="矩形 82" o:spid="_x0000_s1026" o:spt="1" style="position:absolute;left:0;top:0;height:497204;width:4580627;" filled="f" stroked="f" coordsize="21600,21600" o:gfxdata="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KS1gb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5B81162">
                          <w:pPr>
                            <w:ind w:firstLine="170" w:firstLineChars="50"/>
                            <w:jc w:val="center"/>
                            <w:rPr>
                              <w:rFonts w:hint="eastAsia"/>
                              <w:color w:val="000000"/>
                              <w:sz w:val="34"/>
                              <w:szCs w:val="11"/>
                            </w:rPr>
                          </w:pPr>
                          <w:r>
                            <w:rPr>
                              <w:rFonts w:hint="eastAsia"/>
                              <w:color w:val="000000"/>
                              <w:sz w:val="34"/>
                              <w:szCs w:val="11"/>
                            </w:rPr>
                            <w:t>湖南大福信息技术咨询有限公司</w:t>
                          </w:r>
                        </w:p>
                      </w:txbxContent>
                    </v:textbox>
                  </v:rect>
                  <v:line id="直接连接符 83" o:spid="_x0000_s1026" o:spt="20" style="position:absolute;left:51759;top:483079;height:0;width:4528868;" filled="f" stroked="t" coordsize="21600,21600" o:gfxdata="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nORWi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v:group>
            </w:pict>
          </mc:Fallback>
        </mc:AlternateContent>
      </w:r>
    </w:p>
    <w:sectPr>
      <w:footerReference r:id="rId20" w:type="default"/>
      <w:pgSz w:w="11906" w:h="16838"/>
      <w:pgMar w:top="1440" w:right="1797" w:bottom="1440" w:left="1797" w:header="851" w:footer="992" w:gutter="0"/>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modern"/>
    <w:pitch w:val="default"/>
    <w:sig w:usb0="E0002AFF" w:usb1="C0007841" w:usb2="00000009" w:usb3="00000000" w:csb0="400001FF" w:csb1="FFFF0000"/>
    <w:embedRegular r:id="rId1" w:fontKey="{D0DE078C-5277-4B0E-B2C3-D794B9DFE1AC}"/>
  </w:font>
  <w:font w:name="宋体">
    <w:panose1 w:val="02010600030101010101"/>
    <w:charset w:val="88"/>
    <w:family w:val="roman"/>
    <w:pitch w:val="default"/>
    <w:sig w:usb0="00000003" w:usb1="288F0000" w:usb2="00000006" w:usb3="00000000" w:csb0="00040001" w:csb1="00000000"/>
    <w:embedRegular r:id="rId2" w:fontKey="{8C25686D-AD0B-44E3-908C-F0B3E788D941}"/>
  </w:font>
  <w:font w:name="Wingdings">
    <w:panose1 w:val="05000000000000000000"/>
    <w:charset w:val="02"/>
    <w:family w:val="auto"/>
    <w:pitch w:val="default"/>
    <w:sig w:usb0="00000000" w:usb1="00000000" w:usb2="00000000" w:usb3="00000000" w:csb0="80000000" w:csb1="00000000"/>
    <w:embedRegular r:id="rId3" w:fontKey="{8B2ABAEC-CB66-4BA2-8C2E-2BD5FDE32F21}"/>
  </w:font>
  <w:font w:name="Arial">
    <w:panose1 w:val="020B0604020202020204"/>
    <w:charset w:val="01"/>
    <w:family w:val="swiss"/>
    <w:pitch w:val="default"/>
    <w:sig w:usb0="E0002AFF" w:usb1="C0007843" w:usb2="00000009" w:usb3="00000000" w:csb0="400001FF" w:csb1="FFFF0000"/>
    <w:embedRegular r:id="rId4" w:fontKey="{60A1BDC6-B99A-472C-A652-BD763DFA5A54}"/>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embedRegular r:id="rId5" w:fontKey="{A0F0C19B-0F41-4682-9936-22ECBD88CF34}"/>
  </w:font>
  <w:font w:name="Symbol">
    <w:panose1 w:val="05050102010706020507"/>
    <w:charset w:val="02"/>
    <w:family w:val="roman"/>
    <w:pitch w:val="default"/>
    <w:sig w:usb0="00000000" w:usb1="00000000" w:usb2="00000000" w:usb3="00000000" w:csb0="80000000" w:csb1="00000000"/>
    <w:embedRegular r:id="rId6" w:fontKey="{42FBA000-DB5B-461E-9585-DEC332E0D9A4}"/>
  </w:font>
  <w:font w:name="Calibri">
    <w:panose1 w:val="020F0502020204030204"/>
    <w:charset w:val="00"/>
    <w:family w:val="swiss"/>
    <w:pitch w:val="default"/>
    <w:sig w:usb0="E00002FF" w:usb1="4000ACFF" w:usb2="00000001" w:usb3="00000000" w:csb0="2000019F" w:csb1="00000000"/>
    <w:embedRegular r:id="rId7" w:fontKey="{A6BE776F-8AB5-48E5-BD60-2A873A595AA6}"/>
  </w:font>
  <w:font w:name="仿宋_GB2312">
    <w:altName w:val="仿宋"/>
    <w:panose1 w:val="02010609030101010101"/>
    <w:charset w:val="86"/>
    <w:family w:val="modern"/>
    <w:pitch w:val="default"/>
    <w:sig w:usb0="00000001" w:usb1="080E0000" w:usb2="00000000" w:usb3="00000000" w:csb0="00040000" w:csb1="00000000"/>
    <w:embedRegular r:id="rId8" w:fontKey="{14B8B497-1AF7-4E3E-97E1-C811FC58FC26}"/>
  </w:font>
  <w:font w:name="Calibri Light">
    <w:panose1 w:val="020F0302020204030204"/>
    <w:charset w:val="00"/>
    <w:family w:val="swiss"/>
    <w:pitch w:val="default"/>
    <w:sig w:usb0="A00002EF" w:usb1="4000207B" w:usb2="00000000" w:usb3="00000000" w:csb0="2000019F" w:csb1="00000000"/>
    <w:embedRegular r:id="rId9" w:fontKey="{7EA91695-E847-4FC5-B3A0-4D72C8FD7319}"/>
  </w:font>
  <w:font w:name="仿宋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embedRegular r:id="rId10" w:fontKey="{825B1B9D-C22B-46B2-AA10-EC97C364F370}"/>
  </w:font>
  <w:font w:name="Verdana">
    <w:panose1 w:val="020B0604030504040204"/>
    <w:charset w:val="00"/>
    <w:family w:val="swiss"/>
    <w:pitch w:val="default"/>
    <w:sig w:usb0="A10006FF" w:usb1="4000205B" w:usb2="00000010" w:usb3="00000000" w:csb0="2000019F" w:csb1="00000000"/>
    <w:embedRegular r:id="rId11" w:fontKey="{28CCE472-F6C1-41AF-B1B3-E01E15F558C2}"/>
  </w:font>
  <w:font w:name="Tahoma">
    <w:panose1 w:val="020B0604030504040204"/>
    <w:charset w:val="00"/>
    <w:family w:val="swiss"/>
    <w:pitch w:val="default"/>
    <w:sig w:usb0="E1002EFF" w:usb1="C000605B" w:usb2="00000029" w:usb3="00000000" w:csb0="200101FF" w:csb1="20280000"/>
    <w:embedRegular r:id="rId12" w:fontKey="{0AD1727A-B7F4-447A-9A50-8206C87F0224}"/>
  </w:font>
  <w:font w:name="微软雅黑">
    <w:panose1 w:val="020B0503020204020204"/>
    <w:charset w:val="86"/>
    <w:family w:val="swiss"/>
    <w:pitch w:val="default"/>
    <w:sig w:usb0="80000287" w:usb1="280F3C52" w:usb2="00000016" w:usb3="00000000" w:csb0="0004001F" w:csb1="00000000"/>
    <w:embedRegular r:id="rId13" w:fontKey="{6BDBBB4F-B0DF-4021-AE9B-0329D0A4FDDA}"/>
  </w:font>
  <w:font w:name="Times">
    <w:altName w:val="Times New Roman"/>
    <w:panose1 w:val="02020603050405020304"/>
    <w:charset w:val="00"/>
    <w:family w:val="roman"/>
    <w:pitch w:val="default"/>
    <w:sig w:usb0="00000000" w:usb1="00000000" w:usb2="00000009" w:usb3="00000000" w:csb0="000001FF" w:csb1="00000000"/>
    <w:embedRegular r:id="rId14" w:fontKey="{064987E2-4792-434D-BF49-83753FDC39CD}"/>
  </w:font>
  <w:font w:name="Times New Roman (正文 CS 字体)">
    <w:altName w:val="宋体"/>
    <w:panose1 w:val="00000000000000000000"/>
    <w:charset w:val="86"/>
    <w:family w:val="roman"/>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embedRegular r:id="rId15" w:fontKey="{043B96D2-7868-4178-AA60-2F0B96F10B85}"/>
  </w:font>
  <w:font w:name="Book Antiqua">
    <w:panose1 w:val="02040602050305030304"/>
    <w:charset w:val="00"/>
    <w:family w:val="roman"/>
    <w:pitch w:val="default"/>
    <w:sig w:usb0="00000287" w:usb1="00000000" w:usb2="00000000" w:usb3="00000000" w:csb0="2000009F" w:csb1="DFD70000"/>
    <w:embedRegular r:id="rId16" w:fontKey="{0983DA36-2BA4-4F90-B6B7-B7CD101A4484}"/>
  </w:font>
  <w:font w:name="华文仿宋">
    <w:panose1 w:val="02010600040101010101"/>
    <w:charset w:val="86"/>
    <w:family w:val="auto"/>
    <w:pitch w:val="default"/>
    <w:sig w:usb0="00000287" w:usb1="080F0000" w:usb2="00000000" w:usb3="00000000" w:csb0="0004009F" w:csb1="DFD70000"/>
    <w:embedRegular r:id="rId17" w:fontKey="{3ED51CBE-84BD-4B57-818C-6E2935F14617}"/>
  </w:font>
  <w:font w:name="Marlett">
    <w:panose1 w:val="00000000000000000000"/>
    <w:charset w:val="02"/>
    <w:family w:val="auto"/>
    <w:pitch w:val="default"/>
    <w:sig w:usb0="00000000" w:usb1="00000000" w:usb2="00000000" w:usb3="00000000" w:csb0="80000000" w:csb1="00000000"/>
    <w:embedRegular r:id="rId18" w:fontKey="{7C0B24B6-1971-466D-B1C8-F8FD60F5FFCD}"/>
  </w:font>
  <w:font w:name="宋体-简">
    <w:altName w:val="宋体"/>
    <w:panose1 w:val="00000000000000000000"/>
    <w:charset w:val="86"/>
    <w:family w:val="auto"/>
    <w:pitch w:val="default"/>
    <w:sig w:usb0="00000000" w:usb1="00000000" w:usb2="00000000" w:usb3="00000000" w:csb0="00160000" w:csb1="00000000"/>
  </w:font>
  <w:font w:name="方正仿宋_GBK">
    <w:altName w:val="微软雅黑"/>
    <w:panose1 w:val="02000000000000000000"/>
    <w:charset w:val="86"/>
    <w:family w:val="auto"/>
    <w:pitch w:val="default"/>
    <w:sig w:usb0="A00002BF" w:usb1="38CF7CFA" w:usb2="00082016" w:usb3="00000000" w:csb0="00040001" w:csb1="00000000"/>
    <w:embedRegular r:id="rId19" w:fontKey="{6C584048-F6F9-4118-95F3-A5B5032023A5}"/>
  </w:font>
  <w:font w:name="方正小标宋_GBK">
    <w:panose1 w:val="02000000000000000000"/>
    <w:charset w:val="86"/>
    <w:family w:val="auto"/>
    <w:pitch w:val="default"/>
    <w:sig w:usb0="A00002BF" w:usb1="38CF7CFA" w:usb2="00082016" w:usb3="00000000" w:csb0="00040001" w:csb1="00000000"/>
    <w:embedRegular r:id="rId20" w:fontKey="{816F48A2-63EE-499A-A37D-9B61F75E1DB0}"/>
  </w:font>
  <w:font w:name="WPSEMBED5">
    <w:panose1 w:val="02000000000000000000"/>
    <w:charset w:val="86"/>
    <w:family w:val="auto"/>
    <w:pitch w:val="default"/>
    <w:sig w:usb0="A00002BF" w:usb1="38CF7CFA" w:usb2="00082016" w:usb3="00000000" w:csb0="00040001" w:csb1="00000000"/>
  </w:font>
  <w:font w:name="华文中宋">
    <w:panose1 w:val="02010600040101010101"/>
    <w:charset w:val="86"/>
    <w:family w:val="auto"/>
    <w:pitch w:val="default"/>
    <w:sig w:usb0="00000287" w:usb1="080F0000" w:usb2="00000000" w:usb3="00000000" w:csb0="0004009F" w:csb1="DFD70000"/>
    <w:embedRegular r:id="rId21" w:fontKey="{2B402489-EE4B-4FD5-9076-2C465C3311DF}"/>
  </w:font>
  <w:font w:name="方正仿宋_GB2312">
    <w:panose1 w:val="02000000000000000000"/>
    <w:charset w:val="86"/>
    <w:family w:val="auto"/>
    <w:pitch w:val="default"/>
    <w:sig w:usb0="A00002BF" w:usb1="184F6CFA" w:usb2="00000012" w:usb3="00000000" w:csb0="00040001" w:csb1="00000000"/>
    <w:embedRegular r:id="rId22" w:fontKey="{A249E449-8D5F-4F08-AA84-6BD8EEE4E90E}"/>
  </w:font>
  <w:font w:name="WPSEMBED1">
    <w:panose1 w:val="02010609030101010101"/>
    <w:charset w:val="86"/>
    <w:family w:val="auto"/>
    <w:pitch w:val="default"/>
    <w:sig w:usb0="00000001" w:usb1="080E0000" w:usb2="00000000" w:usb3="00000000" w:csb0="00040000" w:csb1="00000000"/>
  </w:font>
  <w:font w:name="WPSEMBED6">
    <w:panose1 w:val="02000000000000000000"/>
    <w:charset w:val="86"/>
    <w:family w:val="auto"/>
    <w:pitch w:val="default"/>
    <w:sig w:usb0="A00002BF" w:usb1="38CF7CFA" w:usb2="00082016" w:usb3="00000000" w:csb0="00040001" w:csb1="00000000"/>
  </w:font>
  <w:font w:name="WPSEMBED7">
    <w:panose1 w:val="02010600040101010101"/>
    <w:charset w:val="86"/>
    <w:family w:val="auto"/>
    <w:pitch w:val="default"/>
    <w:sig w:usb0="00000287" w:usb1="080F0000" w:usb2="00000000" w:usb3="00000000" w:csb0="0004009F" w:csb1="DFD70000"/>
  </w:font>
  <w:font w:name="MS Gothic">
    <w:panose1 w:val="020B0609070205080204"/>
    <w:charset w:val="80"/>
    <w:family w:val="modern"/>
    <w:pitch w:val="default"/>
    <w:sig w:usb0="E00002FF" w:usb1="6AC7FDFB" w:usb2="00000012" w:usb3="00000000" w:csb0="4002009F" w:csb1="DFD70000"/>
    <w:embedRegular r:id="rId23" w:fontKey="{5E4F4476-D976-4733-83AD-E27C80660BED}"/>
  </w:font>
  <w:font w:name="方正准圆简体">
    <w:altName w:val="宋体"/>
    <w:panose1 w:val="00000000000000000000"/>
    <w:charset w:val="86"/>
    <w:family w:val="auto"/>
    <w:pitch w:val="default"/>
    <w:sig w:usb0="00000000" w:usb1="00000000" w:usb2="00000010" w:usb3="00000000" w:csb0="00040000" w:csb1="00000000"/>
    <w:embedRegular r:id="rId24" w:fontKey="{C4A18D8C-6515-40E4-81D0-0375B415D18D}"/>
  </w:font>
  <w:font w:name="WPSEMBED8">
    <w:panose1 w:val="02000000000000000000"/>
    <w:charset w:val="86"/>
    <w:family w:val="auto"/>
    <w:pitch w:val="default"/>
    <w:sig w:usb0="A00002BF" w:usb1="184F6CFA" w:usb2="00000012" w:usb3="00000000" w:csb0="00040001" w:csb1="00000000"/>
  </w:font>
  <w:font w:name="MS PGothic">
    <w:panose1 w:val="020B0600070205080204"/>
    <w:charset w:val="80"/>
    <w:family w:val="auto"/>
    <w:pitch w:val="default"/>
    <w:sig w:usb0="E00002FF" w:usb1="6AC7FDFB" w:usb2="00000012" w:usb3="00000000" w:csb0="4002009F" w:csb1="DFD70000"/>
  </w:font>
  <w:font w:name="WPSEMBED2">
    <w:panose1 w:val="02010600030101010101"/>
    <w:charset w:val="86"/>
    <w:family w:val="auto"/>
    <w:pitch w:val="default"/>
    <w:sig w:usb0="A00002BF" w:usb1="38CF7CFA" w:usb2="00000016" w:usb3="00000000" w:csb0="0004000F" w:csb1="00000000"/>
  </w:font>
  <w:font w:name="WPSEMBED3">
    <w:panose1 w:val="02040602050305030304"/>
    <w:charset w:val="00"/>
    <w:family w:val="auto"/>
    <w:pitch w:val="default"/>
    <w:sig w:usb0="00000287" w:usb1="00000000" w:usb2="00000000" w:usb3="00000000" w:csb0="2000009F" w:csb1="DFD70000"/>
    <w:embedRegular r:id="rId25" w:fontKey="{80A831EB-E68B-4CF2-900B-2BAAA9563B1A}"/>
  </w:font>
  <w:font w:name="WPSEMBED4">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6">
    <w:pPr>
      <w:pStyle w:val="27"/>
      <w:tabs>
        <w:tab w:val="clear" w:pos="4153"/>
      </w:tabs>
      <w:ind w:firstLine="360"/>
      <w:jc w:val="center"/>
      <w:rPr>
        <w:rFonts w:hint="eastAsia"/>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DC0E04">
                          <w:pPr>
                            <w:pStyle w:val="2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14:paraId="04DC0E04">
                    <w:pPr>
                      <w:pStyle w:val="2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45">
    <w:pPr>
      <w:spacing w:line="209" w:lineRule="auto"/>
      <w:ind w:firstLine="360"/>
      <w:rPr>
        <w:rFonts w:hint="eastAsia" w:eastAsia="宋体"/>
        <w:sz w:val="18"/>
        <w:szCs w:val="18"/>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2982C2">
                          <w:pPr>
                            <w:pStyle w:val="27"/>
                          </w:pPr>
                          <w:r>
                            <w:fldChar w:fldCharType="begin"/>
                          </w:r>
                          <w:r>
                            <w:instrText xml:space="preserve"> PAGE  \* MERGEFORMAT </w:instrText>
                          </w:r>
                          <w:r>
                            <w:fldChar w:fldCharType="separate"/>
                          </w:r>
                          <w:r>
                            <w:t>272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792982C2">
                    <w:pPr>
                      <w:pStyle w:val="27"/>
                    </w:pPr>
                    <w:r>
                      <w:fldChar w:fldCharType="begin"/>
                    </w:r>
                    <w:r>
                      <w:instrText xml:space="preserve"> PAGE  \* MERGEFORMAT </w:instrText>
                    </w:r>
                    <w:r>
                      <w:fldChar w:fldCharType="separate"/>
                    </w:r>
                    <w:r>
                      <w:t>272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5">
    <w:pPr>
      <w:pStyle w:val="27"/>
      <w:ind w:firstLine="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8">
    <w:pPr>
      <w:pStyle w:val="27"/>
      <w:ind w:firstLine="360"/>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A">
    <w:pPr>
      <w:pStyle w:val="27"/>
      <w:ind w:firstLine="360"/>
      <w:rPr>
        <w:rFonts w:hint="eastAsia"/>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1F496E">
                          <w:pPr>
                            <w:pStyle w:val="2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14:paraId="3F1F496E">
                    <w:pPr>
                      <w:pStyle w:val="2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D">
    <w:pPr>
      <w:pStyle w:val="18"/>
      <w:spacing w:line="184" w:lineRule="auto"/>
      <w:ind w:firstLine="360"/>
      <w:rPr>
        <w:rFonts w:hint="eastAsia"/>
        <w:sz w:val="18"/>
        <w:szCs w:val="18"/>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1629DB">
                          <w:pPr>
                            <w:pStyle w:val="2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421629DB">
                    <w:pPr>
                      <w:pStyle w:val="2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E">
    <w:pPr>
      <w:pStyle w:val="27"/>
      <w:ind w:firstLine="360"/>
      <w:jc w:val="center"/>
      <w:rPr>
        <w:rFonts w:hint="eastAsia"/>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50921"/>
                          </w:sdtPr>
                          <w:sdtContent>
                            <w:p w14:paraId="6EF17722">
                              <w:pPr>
                                <w:pStyle w:val="27"/>
                                <w:ind w:firstLine="360"/>
                                <w:jc w:val="center"/>
                              </w:pPr>
                              <w:r>
                                <w:fldChar w:fldCharType="begin"/>
                              </w:r>
                              <w:r>
                                <w:instrText xml:space="preserve">PAGE   \* MERGEFORMAT</w:instrText>
                              </w:r>
                              <w:r>
                                <w:fldChar w:fldCharType="separate"/>
                              </w:r>
                              <w:r>
                                <w:t>2</w:t>
                              </w:r>
                              <w:r>
                                <w:fldChar w:fldCharType="end"/>
                              </w:r>
                            </w:p>
                          </w:sdtContent>
                        </w:sdt>
                        <w:p w14:paraId="04A999E4"/>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sdt>
                    <w:sdtPr>
                      <w:id w:val="147450921"/>
                    </w:sdtPr>
                    <w:sdtContent>
                      <w:p w14:paraId="6EF17722">
                        <w:pPr>
                          <w:pStyle w:val="27"/>
                          <w:ind w:firstLine="360"/>
                          <w:jc w:val="center"/>
                        </w:pPr>
                        <w:r>
                          <w:fldChar w:fldCharType="begin"/>
                        </w:r>
                        <w:r>
                          <w:instrText xml:space="preserve">PAGE   \* MERGEFORMAT</w:instrText>
                        </w:r>
                        <w:r>
                          <w:fldChar w:fldCharType="separate"/>
                        </w:r>
                        <w:r>
                          <w:t>2</w:t>
                        </w:r>
                        <w:r>
                          <w:fldChar w:fldCharType="end"/>
                        </w:r>
                      </w:p>
                    </w:sdtContent>
                  </w:sdt>
                  <w:p w14:paraId="04A999E4"/>
                </w:txbxContent>
              </v:textbox>
            </v:shape>
          </w:pict>
        </mc:Fallback>
      </mc:AlternateContent>
    </w:r>
  </w:p>
  <w:p w14:paraId="75B8113F">
    <w:pPr>
      <w:pStyle w:val="18"/>
      <w:spacing w:line="184" w:lineRule="auto"/>
      <w:ind w:firstLine="360"/>
      <w:rPr>
        <w:rFonts w:hint="eastAsia"/>
        <w:sz w:val="18"/>
        <w:szCs w:val="1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40">
    <w:pPr>
      <w:spacing w:line="209" w:lineRule="auto"/>
      <w:ind w:firstLine="360"/>
      <w:rPr>
        <w:rFonts w:hint="eastAsia" w:eastAsia="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6350"/>
              <wp:wrapNone/>
              <wp:docPr id="141" name="文本框 1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B81163">
                          <w:pPr>
                            <w:pStyle w:val="27"/>
                            <w:ind w:firstLine="360"/>
                            <w:rPr>
                              <w:rFonts w:hint="eastAsia"/>
                            </w:rPr>
                          </w:pPr>
                          <w:r>
                            <w:fldChar w:fldCharType="begin"/>
                          </w:r>
                          <w:r>
                            <w:instrText xml:space="preserve"> PAGE  \* MERGEFORMAT </w:instrText>
                          </w:r>
                          <w:r>
                            <w:fldChar w:fldCharType="separate"/>
                          </w:r>
                          <w:r>
                            <w:t>247</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z-index:251662336;mso-width-relative:page;mso-height-relative:page;" filled="f" stroked="f" coordsize="21600,21600" o:gfxdata="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PHrxr0QAAAAUBAAAPAAAAAAAAAAEAIAAAACIAAABkcnMvZG93bnJldi54bWxQSwECFAAUAAAA&#10;CACHTuJAKr2TiS4CAABbBAAADgAAAAAAAAABACAAAAAgAQAAZHJzL2Uyb0RvYy54bWxQSwUGAAAA&#10;AAYABgBZAQAAwAUAAAAA&#10;">
              <v:fill on="f" focussize="0,0"/>
              <v:stroke on="f" weight="0.5pt"/>
              <v:imagedata o:title=""/>
              <o:lock v:ext="edit" aspectratio="f"/>
              <v:textbox inset="0mm,0mm,0mm,0mm" style="mso-fit-shape-to-text:t;">
                <w:txbxContent>
                  <w:p w14:paraId="75B81163">
                    <w:pPr>
                      <w:pStyle w:val="27"/>
                      <w:ind w:firstLine="360"/>
                      <w:rPr>
                        <w:rFonts w:hint="eastAsia"/>
                      </w:rPr>
                    </w:pPr>
                    <w:r>
                      <w:fldChar w:fldCharType="begin"/>
                    </w:r>
                    <w:r>
                      <w:instrText xml:space="preserve"> PAGE  \* MERGEFORMAT </w:instrText>
                    </w:r>
                    <w:r>
                      <w:fldChar w:fldCharType="separate"/>
                    </w:r>
                    <w:r>
                      <w:t>247</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42">
    <w:pPr>
      <w:spacing w:line="209" w:lineRule="auto"/>
      <w:ind w:firstLine="360"/>
      <w:rPr>
        <w:rFonts w:hint="eastAsia" w:eastAsia="宋体"/>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525018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525018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B81166">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413.4pt;mso-position-horizontal:center;mso-position-horizontal-relative:margin;z-index:251670528;mso-width-relative:page;mso-height-relative:page;" filled="f" stroked="f" coordsize="21600,21600" o:gfxdata="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nrOlz0wAAAAUBAAAPAAAAAAAAAAEAIAAAACIAAABkcnMvZG93bnJldi54bWxQ&#10;SwECFAAUAAAACACHTuJAvrxTJDUCAABZBAAADgAAAAAAAAABACAAAAAiAQAAZHJzL2Uyb0RvYy54&#10;bWxQSwUGAAAAAAYABgBZAQAAyQUAAAAA&#10;">
              <v:fill on="f" focussize="0,0"/>
              <v:stroke on="f" weight="0.5pt"/>
              <v:imagedata o:title=""/>
              <o:lock v:ext="edit" aspectratio="f"/>
              <v:textbox inset="0mm,0mm,0mm,0mm" style="mso-fit-shape-to-text:t;">
                <w:txbxContent>
                  <w:p w14:paraId="75B81166">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v:textbox>
            </v:shape>
          </w:pict>
        </mc:Fallback>
      </mc:AlternateContent>
    </w: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327912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327912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B81167">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045.6pt;mso-position-horizontal:center;mso-position-horizontal-relative:margin;z-index:251669504;mso-width-relative:page;mso-height-relative:page;" filled="f" stroked="f" coordsize="21600,21600" o:gfxdata="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1/KEh1AAAAAYBAAAPAAAAAAAAAAEAIAAAACIAAABkcnMvZG93bnJldi54bWxQ&#10;SwECFAAUAAAACACHTuJA0cz+CzQCAABaBAAADgAAAAAAAAABACAAAAAjAQAAZHJzL2Uyb0RvYy54&#10;bWxQSwUGAAAAAAYABgBZAQAAyQUAAAAA&#10;">
              <v:fill on="f" focussize="0,0"/>
              <v:stroke on="f" weight="0.5pt"/>
              <v:imagedata o:title=""/>
              <o:lock v:ext="edit" aspectratio="f"/>
              <v:textbox inset="0mm,0mm,0mm,0mm" style="mso-fit-shape-to-text:t;">
                <w:txbxContent>
                  <w:p w14:paraId="75B81167">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43">
    <w:pPr>
      <w:spacing w:line="209" w:lineRule="auto"/>
      <w:ind w:firstLine="360"/>
      <w:rPr>
        <w:rFonts w:hint="eastAsia" w:eastAsia="宋体"/>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5276215"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527621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B81168">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415.45pt;mso-position-horizontal:center;mso-position-horizontal-relative:margin;z-index:251668480;mso-width-relative:page;mso-height-relative:page;" filled="f" stroked="f" coordsize="21600,21600" o:gfxdata="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2Jd39QAAAAFAQAADwAAAAAAAAABACAAAAAiAAAAZHJzL2Rvd25yZXYueG1s&#10;UEsBAhQAFAAAAAgAh07iQJ5Ip/E1AgAAWQQAAA4AAAAAAAAAAQAgAAAAIwEAAGRycy9lMm9Eb2Mu&#10;eG1sUEsFBgAAAAAGAAYAWQEAAMoFAAAAAA==&#10;">
              <v:fill on="f" focussize="0,0"/>
              <v:stroke on="f" weight="0.5pt"/>
              <v:imagedata o:title=""/>
              <o:lock v:ext="edit" aspectratio="f"/>
              <v:textbox inset="0mm,0mm,0mm,0mm" style="mso-fit-shape-to-text:t;">
                <w:txbxContent>
                  <w:p w14:paraId="75B81168">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v:textbox>
            </v:shape>
          </w:pict>
        </mc:Fallback>
      </mc:AlternateContent>
    </w: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327912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327912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B81169">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045.6pt;mso-position-horizontal:center;mso-position-horizontal-relative:margin;z-index:251667456;mso-width-relative:page;mso-height-relative:page;" filled="f" stroked="f" coordsize="21600,21600" o:gfxdata="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tfyhIdQAAAAGAQAADwAAAAAAAAABACAAAAAiAAAAZHJzL2Rvd25yZXYueG1s&#10;UEsBAhQAFAAAAAgAh07iQO23Qso1AgAAWgQAAA4AAAAAAAAAAQAgAAAAIwEAAGRycy9lMm9Eb2Mu&#10;eG1sUEsFBgAAAAAGAAYAWQEAAMoFAAAAAA==&#10;">
              <v:fill on="f" focussize="0,0"/>
              <v:stroke on="f" weight="0.5pt"/>
              <v:imagedata o:title=""/>
              <o:lock v:ext="edit" aspectratio="f"/>
              <v:textbox inset="0mm,0mm,0mm,0mm" style="mso-fit-shape-to-text:t;">
                <w:txbxContent>
                  <w:p w14:paraId="75B81169">
                    <w:pPr>
                      <w:pStyle w:val="27"/>
                      <w:ind w:firstLine="360"/>
                      <w:jc w:val="center"/>
                      <w:rPr>
                        <w:rFonts w:hint="eastAsia"/>
                      </w:rPr>
                    </w:pPr>
                    <w:r>
                      <w:fldChar w:fldCharType="begin"/>
                    </w:r>
                    <w:r>
                      <w:instrText xml:space="preserve"> PAGE  \* MERGEFORMAT </w:instrText>
                    </w:r>
                    <w:r>
                      <w:fldChar w:fldCharType="separate"/>
                    </w:r>
                    <w:r>
                      <w:t>247</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4">
    <w:pPr>
      <w:pStyle w:val="28"/>
      <w:pBdr>
        <w:bottom w:val="none" w:color="auto" w:sz="0" w:space="0"/>
      </w:pBdr>
      <w:ind w:firstLine="360"/>
      <w:rPr>
        <w:rFonts w:hint="eastAsia"/>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3">
    <w:pPr>
      <w:pStyle w:val="28"/>
      <w:ind w:firstLine="360"/>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7">
    <w:pPr>
      <w:pStyle w:val="28"/>
      <w:ind w:firstLine="360"/>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9">
    <w:pPr>
      <w:pStyle w:val="28"/>
      <w:ind w:firstLine="360"/>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B">
    <w:pPr>
      <w:pStyle w:val="28"/>
      <w:ind w:firstLine="360"/>
      <w:jc w:val="right"/>
      <w:rPr>
        <w:rFonts w:hint="eastAsia"/>
      </w:rPr>
    </w:pPr>
    <w:r>
      <w:rPr>
        <w:rFonts w:hint="eastAsia"/>
        <w:szCs w:val="21"/>
        <w:u w:val="single"/>
      </w:rPr>
      <w:t>岳阳市市政基础设施普查和信息平台项目建设项目建设方案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8113C">
    <w:pPr>
      <w:pStyle w:val="28"/>
      <w:ind w:firstLine="360"/>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7E80FB"/>
    <w:multiLevelType w:val="singleLevel"/>
    <w:tmpl w:val="917E80FB"/>
    <w:lvl w:ilvl="0" w:tentative="0">
      <w:start w:val="2"/>
      <w:numFmt w:val="decimal"/>
      <w:lvlText w:val="%1."/>
      <w:lvlJc w:val="left"/>
      <w:pPr>
        <w:tabs>
          <w:tab w:val="left" w:pos="312"/>
        </w:tabs>
      </w:pPr>
    </w:lvl>
  </w:abstractNum>
  <w:abstractNum w:abstractNumId="1">
    <w:nsid w:val="B798C7DE"/>
    <w:multiLevelType w:val="singleLevel"/>
    <w:tmpl w:val="B798C7DE"/>
    <w:lvl w:ilvl="0" w:tentative="0">
      <w:start w:val="3"/>
      <w:numFmt w:val="decimal"/>
      <w:lvlText w:val="%1)"/>
      <w:lvlJc w:val="left"/>
      <w:pPr>
        <w:tabs>
          <w:tab w:val="left" w:pos="312"/>
        </w:tabs>
      </w:pPr>
    </w:lvl>
  </w:abstractNum>
  <w:abstractNum w:abstractNumId="2">
    <w:nsid w:val="C491310A"/>
    <w:multiLevelType w:val="singleLevel"/>
    <w:tmpl w:val="C491310A"/>
    <w:lvl w:ilvl="0" w:tentative="0">
      <w:start w:val="2"/>
      <w:numFmt w:val="chineseCounting"/>
      <w:suff w:val="nothing"/>
      <w:lvlText w:val="%1、"/>
      <w:lvlJc w:val="left"/>
      <w:rPr>
        <w:rFonts w:hint="eastAsia"/>
      </w:rPr>
    </w:lvl>
  </w:abstractNum>
  <w:abstractNum w:abstractNumId="3">
    <w:nsid w:val="C8CD2053"/>
    <w:multiLevelType w:val="singleLevel"/>
    <w:tmpl w:val="C8CD2053"/>
    <w:lvl w:ilvl="0" w:tentative="0">
      <w:start w:val="1"/>
      <w:numFmt w:val="decimal"/>
      <w:lvlText w:val="%1."/>
      <w:lvlJc w:val="left"/>
      <w:pPr>
        <w:tabs>
          <w:tab w:val="left" w:pos="397"/>
        </w:tabs>
        <w:ind w:left="454" w:hanging="114"/>
      </w:pPr>
      <w:rPr>
        <w:rFonts w:hint="default"/>
      </w:rPr>
    </w:lvl>
  </w:abstractNum>
  <w:abstractNum w:abstractNumId="4">
    <w:nsid w:val="00000002"/>
    <w:multiLevelType w:val="multilevel"/>
    <w:tmpl w:val="00000002"/>
    <w:lvl w:ilvl="0" w:tentative="0">
      <w:start w:val="0"/>
      <w:numFmt w:val="none"/>
      <w:lvlText w:val=""/>
      <w:lvlJc w:val="left"/>
      <w:pPr>
        <w:tabs>
          <w:tab w:val="left" w:pos="360"/>
        </w:tabs>
      </w:pPr>
    </w:lvl>
    <w:lvl w:ilvl="1" w:tentative="0">
      <w:start w:val="1"/>
      <w:numFmt w:val="decimal"/>
      <w:pStyle w:val="196"/>
      <w:suff w:val="nothing"/>
      <w:lvlText w:val="%1%2　"/>
      <w:lvlJc w:val="left"/>
      <w:pPr>
        <w:tabs>
          <w:tab w:val="left" w:pos="0"/>
        </w:tabs>
        <w:ind w:left="0" w:firstLine="0"/>
      </w:pPr>
      <w:rPr>
        <w:rFonts w:hint="eastAsia" w:ascii="黑体" w:hAnsi="Times New Roman" w:eastAsia="黑体" w:cs="黑体"/>
        <w:b w:val="0"/>
        <w:sz w:val="21"/>
      </w:rPr>
    </w:lvl>
    <w:lvl w:ilvl="2" w:tentative="0">
      <w:start w:val="1"/>
      <w:numFmt w:val="decimal"/>
      <w:pStyle w:val="195"/>
      <w:suff w:val="nothing"/>
      <w:lvlText w:val="%1%2.%3　"/>
      <w:lvlJc w:val="left"/>
      <w:pPr>
        <w:tabs>
          <w:tab w:val="left" w:pos="0"/>
        </w:tabs>
        <w:ind w:left="0" w:firstLine="0"/>
      </w:pPr>
      <w:rPr>
        <w:rFonts w:hint="eastAsia" w:ascii="黑体" w:hAnsi="Times New Roman" w:eastAsia="黑体" w:cs="黑体"/>
        <w:b w:val="0"/>
        <w:sz w:val="21"/>
      </w:rPr>
    </w:lvl>
    <w:lvl w:ilvl="3" w:tentative="0">
      <w:start w:val="1"/>
      <w:numFmt w:val="decimal"/>
      <w:pStyle w:val="194"/>
      <w:suff w:val="nothing"/>
      <w:lvlText w:val="%1%2.%3.%4　"/>
      <w:lvlJc w:val="left"/>
      <w:pPr>
        <w:tabs>
          <w:tab w:val="left" w:pos="0"/>
        </w:tabs>
        <w:ind w:left="284" w:firstLine="0"/>
      </w:pPr>
      <w:rPr>
        <w:rFonts w:hint="eastAsia" w:ascii="黑体" w:hAnsi="Times New Roman" w:eastAsia="黑体" w:cs="黑体"/>
        <w:b w:val="0"/>
        <w:sz w:val="21"/>
      </w:rPr>
    </w:lvl>
    <w:lvl w:ilvl="4" w:tentative="0">
      <w:start w:val="1"/>
      <w:numFmt w:val="decimal"/>
      <w:suff w:val="nothing"/>
      <w:lvlText w:val="%1%2.%3.%4.%5　"/>
      <w:lvlJc w:val="left"/>
      <w:pPr>
        <w:tabs>
          <w:tab w:val="left" w:pos="0"/>
        </w:tabs>
        <w:ind w:left="0" w:firstLine="0"/>
      </w:pPr>
      <w:rPr>
        <w:rFonts w:hint="eastAsia" w:ascii="黑体" w:hAnsi="Times New Roman" w:eastAsia="黑体" w:cs="黑体"/>
        <w:b w:val="0"/>
        <w:sz w:val="21"/>
      </w:rPr>
    </w:lvl>
    <w:lvl w:ilvl="5" w:tentative="0">
      <w:start w:val="1"/>
      <w:numFmt w:val="decimal"/>
      <w:suff w:val="nothing"/>
      <w:lvlText w:val="%1%2.%3.%4.%5.%6　"/>
      <w:lvlJc w:val="left"/>
      <w:pPr>
        <w:tabs>
          <w:tab w:val="left" w:pos="0"/>
        </w:tabs>
        <w:ind w:left="0" w:firstLine="0"/>
      </w:pPr>
      <w:rPr>
        <w:rFonts w:hint="eastAsia" w:ascii="黑体" w:hAnsi="Times New Roman" w:eastAsia="黑体" w:cs="黑体"/>
        <w:b w:val="0"/>
        <w:sz w:val="21"/>
      </w:rPr>
    </w:lvl>
    <w:lvl w:ilvl="6" w:tentative="0">
      <w:start w:val="1"/>
      <w:numFmt w:val="decimal"/>
      <w:suff w:val="nothing"/>
      <w:lvlText w:val="%1%2.%3.%4.%5.%6.%7　"/>
      <w:lvlJc w:val="left"/>
      <w:pPr>
        <w:tabs>
          <w:tab w:val="left" w:pos="0"/>
        </w:tabs>
        <w:ind w:left="0" w:firstLine="0"/>
      </w:pPr>
      <w:rPr>
        <w:rFonts w:hint="eastAsia" w:ascii="黑体" w:hAnsi="Times New Roman" w:eastAsia="黑体" w:cs="黑体"/>
        <w:b w:val="0"/>
        <w:sz w:val="21"/>
      </w:rPr>
    </w:lvl>
    <w:lvl w:ilvl="7" w:tentative="0">
      <w:start w:val="1"/>
      <w:numFmt w:val="decimal"/>
      <w:lvlText w:val="%1.%2.%3.%4.%5.%6.%7.%8"/>
      <w:lvlJc w:val="left"/>
      <w:pPr>
        <w:tabs>
          <w:tab w:val="left" w:pos="4351"/>
        </w:tabs>
        <w:ind w:left="3972" w:hanging="1418"/>
      </w:pPr>
    </w:lvl>
    <w:lvl w:ilvl="8" w:tentative="0">
      <w:start w:val="1"/>
      <w:numFmt w:val="decimal"/>
      <w:lvlText w:val="%1.%2.%3.%4.%5.%6.%7.%8.%9"/>
      <w:lvlJc w:val="left"/>
      <w:pPr>
        <w:tabs>
          <w:tab w:val="left" w:pos="4777"/>
        </w:tabs>
        <w:ind w:left="4677" w:hanging="1700"/>
      </w:pPr>
    </w:lvl>
  </w:abstractNum>
  <w:abstractNum w:abstractNumId="5">
    <w:nsid w:val="0680F552"/>
    <w:multiLevelType w:val="singleLevel"/>
    <w:tmpl w:val="0680F552"/>
    <w:lvl w:ilvl="0" w:tentative="0">
      <w:start w:val="1"/>
      <w:numFmt w:val="decimal"/>
      <w:suff w:val="nothing"/>
      <w:lvlText w:val="（%1）"/>
      <w:lvlJc w:val="left"/>
    </w:lvl>
  </w:abstractNum>
  <w:abstractNum w:abstractNumId="6">
    <w:nsid w:val="0EDB2900"/>
    <w:multiLevelType w:val="multilevel"/>
    <w:tmpl w:val="0EDB2900"/>
    <w:lvl w:ilvl="0" w:tentative="0">
      <w:start w:val="1"/>
      <w:numFmt w:val="bullet"/>
      <w:pStyle w:val="110"/>
      <w:lvlText w:val="−"/>
      <w:lvlJc w:val="left"/>
      <w:pPr>
        <w:tabs>
          <w:tab w:val="left" w:pos="2551"/>
        </w:tabs>
        <w:ind w:left="2551" w:hanging="425"/>
      </w:pPr>
      <w:rPr>
        <w:rFonts w:hint="default" w:ascii="Times New Roman" w:hAnsi="Times New Roman" w:cs="Times New Roman"/>
        <w:sz w:val="16"/>
        <w:szCs w:val="16"/>
      </w:rPr>
    </w:lvl>
    <w:lvl w:ilvl="1" w:tentative="0">
      <w:start w:val="1"/>
      <w:numFmt w:val="ganada"/>
      <w:lvlText w:val=""/>
      <w:lvlJc w:val="left"/>
      <w:pPr>
        <w:tabs>
          <w:tab w:val="left" w:pos="2976"/>
        </w:tabs>
        <w:ind w:left="2976" w:hanging="425"/>
      </w:pPr>
      <w:rPr>
        <w:rFonts w:hint="default" w:ascii="Wingdings" w:hAnsi="Wingdings" w:cs="Wingdings"/>
        <w:sz w:val="16"/>
        <w:szCs w:val="16"/>
      </w:rPr>
    </w:lvl>
    <w:lvl w:ilvl="2" w:tentative="0">
      <w:start w:val="1"/>
      <w:numFmt w:val="bullet"/>
      <w:lvlText w:val="□"/>
      <w:lvlJc w:val="left"/>
      <w:pPr>
        <w:tabs>
          <w:tab w:val="left" w:pos="3401"/>
        </w:tabs>
        <w:ind w:left="3401" w:hanging="425"/>
      </w:pPr>
      <w:rPr>
        <w:rFonts w:hint="default" w:ascii="Wingdings" w:hAnsi="Wingdings" w:cs="Wingdings"/>
        <w:sz w:val="16"/>
        <w:szCs w:val="16"/>
      </w:rPr>
    </w:lvl>
    <w:lvl w:ilvl="3" w:tentative="0">
      <w:start w:val="1"/>
      <w:numFmt w:val="bullet"/>
      <w:lvlText w:val=""/>
      <w:lvlJc w:val="left"/>
      <w:pPr>
        <w:tabs>
          <w:tab w:val="left" w:pos="1680"/>
        </w:tabs>
        <w:ind w:left="1680" w:hanging="420"/>
      </w:pPr>
      <w:rPr>
        <w:rFonts w:hint="default" w:ascii="Wingdings" w:hAnsi="Wingdings" w:cs="Wingdings"/>
      </w:rPr>
    </w:lvl>
    <w:lvl w:ilvl="4" w:tentative="0">
      <w:start w:val="1"/>
      <w:numFmt w:val="bullet"/>
      <w:lvlText w:val=""/>
      <w:lvlJc w:val="left"/>
      <w:pPr>
        <w:tabs>
          <w:tab w:val="left" w:pos="2100"/>
        </w:tabs>
        <w:ind w:left="2100" w:hanging="420"/>
      </w:pPr>
      <w:rPr>
        <w:rFonts w:hint="default" w:ascii="Wingdings" w:hAnsi="Wingdings" w:cs="Wingdings"/>
      </w:rPr>
    </w:lvl>
    <w:lvl w:ilvl="5" w:tentative="0">
      <w:start w:val="1"/>
      <w:numFmt w:val="bullet"/>
      <w:lvlText w:val=""/>
      <w:lvlJc w:val="left"/>
      <w:pPr>
        <w:tabs>
          <w:tab w:val="left" w:pos="2520"/>
        </w:tabs>
        <w:ind w:left="2520" w:hanging="420"/>
      </w:pPr>
      <w:rPr>
        <w:rFonts w:hint="default" w:ascii="Wingdings" w:hAnsi="Wingdings" w:cs="Wingdings"/>
      </w:rPr>
    </w:lvl>
    <w:lvl w:ilvl="6" w:tentative="0">
      <w:start w:val="1"/>
      <w:numFmt w:val="bullet"/>
      <w:lvlText w:val=""/>
      <w:lvlJc w:val="left"/>
      <w:pPr>
        <w:tabs>
          <w:tab w:val="left" w:pos="2940"/>
        </w:tabs>
        <w:ind w:left="2940" w:hanging="420"/>
      </w:pPr>
      <w:rPr>
        <w:rFonts w:hint="default" w:ascii="Wingdings" w:hAnsi="Wingdings" w:cs="Wingdings"/>
      </w:rPr>
    </w:lvl>
    <w:lvl w:ilvl="7" w:tentative="0">
      <w:start w:val="1"/>
      <w:numFmt w:val="bullet"/>
      <w:lvlText w:val=""/>
      <w:lvlJc w:val="left"/>
      <w:pPr>
        <w:tabs>
          <w:tab w:val="left" w:pos="3360"/>
        </w:tabs>
        <w:ind w:left="3360" w:hanging="420"/>
      </w:pPr>
      <w:rPr>
        <w:rFonts w:hint="default" w:ascii="Wingdings" w:hAnsi="Wingdings" w:cs="Wingdings"/>
      </w:rPr>
    </w:lvl>
    <w:lvl w:ilvl="8" w:tentative="0">
      <w:start w:val="1"/>
      <w:numFmt w:val="bullet"/>
      <w:lvlText w:val=""/>
      <w:lvlJc w:val="left"/>
      <w:pPr>
        <w:tabs>
          <w:tab w:val="left" w:pos="3780"/>
        </w:tabs>
        <w:ind w:left="3780" w:hanging="420"/>
      </w:pPr>
      <w:rPr>
        <w:rFonts w:hint="default" w:ascii="Wingdings" w:hAnsi="Wingdings" w:cs="Wingdings"/>
      </w:rPr>
    </w:lvl>
  </w:abstractNum>
  <w:abstractNum w:abstractNumId="7">
    <w:nsid w:val="171657A1"/>
    <w:multiLevelType w:val="multilevel"/>
    <w:tmpl w:val="171657A1"/>
    <w:lvl w:ilvl="0" w:tentative="0">
      <w:start w:val="1"/>
      <w:numFmt w:val="decimal"/>
      <w:suff w:val="nothing"/>
      <w:lvlText w:val="%1 "/>
      <w:lvlJc w:val="left"/>
      <w:pPr>
        <w:ind w:left="0" w:firstLine="0"/>
      </w:pPr>
      <w:rPr>
        <w:rFonts w:hint="default" w:ascii="Book Antiqua" w:hAnsi="Book Antiqua" w:eastAsia="黑体" w:cs="Book Antiqua"/>
        <w:b/>
        <w:bCs/>
        <w:i w:val="0"/>
        <w:iCs w:val="0"/>
        <w:caps w:val="0"/>
        <w:strike w:val="0"/>
        <w:dstrike w:val="0"/>
        <w:vanish w:val="0"/>
        <w:color w:val="000000"/>
        <w:sz w:val="144"/>
        <w:szCs w:val="144"/>
        <w:vertAlign w:val="baseline"/>
        <w14:shadow w14:blurRad="0" w14:dist="0" w14:dir="0" w14:sx="0" w14:sy="0" w14:kx="0" w14:ky="0" w14:algn="none">
          <w14:srgbClr w14:val="000000"/>
        </w14:shadow>
      </w:rPr>
    </w:lvl>
    <w:lvl w:ilvl="1" w:tentative="0">
      <w:start w:val="1"/>
      <w:numFmt w:val="decimal"/>
      <w:suff w:val="nothing"/>
      <w:lvlText w:val="%1.%2 "/>
      <w:lvlJc w:val="left"/>
      <w:pPr>
        <w:ind w:left="0" w:firstLine="0"/>
      </w:pPr>
      <w:rPr>
        <w:rFonts w:hint="default" w:ascii="Book Antiqua" w:hAnsi="Book Antiqua" w:eastAsia="黑体" w:cs="Book Antiqua"/>
        <w:b w:val="0"/>
        <w:bCs/>
        <w:i w:val="0"/>
        <w:iCs w:val="0"/>
        <w:caps w:val="0"/>
        <w:strike w:val="0"/>
        <w:dstrike w:val="0"/>
        <w:snapToGrid w:val="0"/>
        <w:vanish w:val="0"/>
        <w:color w:val="000000"/>
        <w:spacing w:val="0"/>
        <w:kern w:val="0"/>
        <w:sz w:val="36"/>
        <w:szCs w:val="36"/>
        <w:vertAlign w:val="baseline"/>
        <w14:shadow w14:blurRad="0" w14:dist="0" w14:dir="0" w14:sx="0" w14:sy="0" w14:kx="0" w14:ky="0" w14:algn="none">
          <w14:srgbClr w14:val="000000"/>
        </w14:shadow>
      </w:rPr>
    </w:lvl>
    <w:lvl w:ilvl="2" w:tentative="0">
      <w:start w:val="1"/>
      <w:numFmt w:val="decimal"/>
      <w:suff w:val="nothing"/>
      <w:lvlText w:val="%1.%2.%3 "/>
      <w:lvlJc w:val="left"/>
      <w:pPr>
        <w:ind w:left="0" w:firstLine="0"/>
      </w:pPr>
      <w:rPr>
        <w:rFonts w:hint="default" w:ascii="Book Antiqua" w:hAnsi="Book Antiqua" w:eastAsia="黑体" w:cs="Book Antiqua"/>
        <w:b w:val="0"/>
        <w:bCs/>
        <w:i w:val="0"/>
        <w:iCs w:val="0"/>
        <w:caps w:val="0"/>
        <w:strike w:val="0"/>
        <w:dstrike w:val="0"/>
        <w:snapToGrid w:val="0"/>
        <w:vanish w:val="0"/>
        <w:color w:val="000000"/>
        <w:kern w:val="0"/>
        <w:sz w:val="32"/>
        <w:szCs w:val="32"/>
        <w:vertAlign w:val="baseline"/>
        <w14:shadow w14:blurRad="0" w14:dist="0" w14:dir="0" w14:sx="0" w14:sy="0" w14:kx="0" w14:ky="0" w14:algn="none">
          <w14:srgbClr w14:val="000000"/>
        </w14:shadow>
      </w:rPr>
    </w:lvl>
    <w:lvl w:ilvl="3" w:tentative="0">
      <w:start w:val="1"/>
      <w:numFmt w:val="decimal"/>
      <w:lvlRestart w:val="1"/>
      <w:suff w:val="nothing"/>
      <w:lvlText w:val="%1.%2.%3.%4 "/>
      <w:lvlJc w:val="left"/>
      <w:pPr>
        <w:ind w:left="0" w:firstLine="0"/>
      </w:pPr>
      <w:rPr>
        <w:rFonts w:hint="default" w:ascii="Book Antiqua" w:hAnsi="Book Antiqua" w:eastAsia="黑体" w:cs="Book Antiqua"/>
        <w:bCs/>
        <w:i w:val="0"/>
        <w:iCs w:val="0"/>
        <w:caps w:val="0"/>
        <w:strike w:val="0"/>
        <w:dstrike w:val="0"/>
        <w:vanish w:val="0"/>
        <w:color w:val="000000"/>
        <w:sz w:val="28"/>
        <w:szCs w:val="28"/>
        <w:vertAlign w:val="baseline"/>
        <w14:shadow w14:blurRad="0" w14:dist="0" w14:dir="0" w14:sx="0" w14:sy="0" w14:kx="0" w14:ky="0" w14:algn="none">
          <w14:srgbClr w14:val="000000"/>
        </w14:shadow>
      </w:rPr>
    </w:lvl>
    <w:lvl w:ilvl="4" w:tentative="0">
      <w:start w:val="1"/>
      <w:numFmt w:val="decimal"/>
      <w:lvlRestart w:val="1"/>
      <w:suff w:val="nothing"/>
      <w:lvlText w:val="%1.%2.%3.%4.%5 "/>
      <w:lvlJc w:val="left"/>
      <w:pPr>
        <w:ind w:left="0" w:firstLine="0"/>
      </w:pPr>
      <w:rPr>
        <w:rFonts w:hint="default" w:ascii="Book Antiqua" w:hAnsi="Book Antiqua" w:eastAsia="黑体" w:cs="Book Antiqua"/>
        <w:bCs/>
        <w:i w:val="0"/>
        <w:iCs w:val="0"/>
        <w:caps w:val="0"/>
        <w:strike w:val="0"/>
        <w:dstrike w:val="0"/>
        <w:vanish w:val="0"/>
        <w:color w:val="000000"/>
        <w:sz w:val="24"/>
        <w:szCs w:val="24"/>
        <w:vertAlign w:val="baseline"/>
        <w14:shadow w14:blurRad="0" w14:dist="0" w14:dir="0" w14:sx="0" w14:sy="0" w14:kx="0" w14:ky="0" w14:algn="none">
          <w14:srgbClr w14:val="000000"/>
        </w14:shadow>
      </w:rPr>
    </w:lvl>
    <w:lvl w:ilvl="5" w:tentative="0">
      <w:start w:val="1"/>
      <w:numFmt w:val="none"/>
      <w:suff w:val="nothing"/>
      <w:lvlText w:val=""/>
      <w:lvlJc w:val="left"/>
      <w:pPr>
        <w:ind w:left="0" w:firstLine="0"/>
      </w:pPr>
      <w:rPr>
        <w:rFonts w:hint="default" w:ascii="Arial" w:hAnsi="Arial" w:cs="Arial"/>
        <w:b/>
        <w:bCs/>
        <w:i w:val="0"/>
        <w:iCs w:val="0"/>
        <w:caps w:val="0"/>
        <w:strike w:val="0"/>
        <w:dstrike w:val="0"/>
        <w:vanish w:val="0"/>
        <w:color w:val="000000"/>
        <w:sz w:val="20"/>
        <w:szCs w:val="20"/>
        <w:vertAlign w:val="baseline"/>
        <w14:shadow w14:blurRad="0" w14:dist="0" w14:dir="0" w14:sx="0" w14:sy="0" w14:kx="0" w14:ky="0" w14:algn="none">
          <w14:srgbClr w14:val="000000"/>
        </w14:shadow>
      </w:rPr>
    </w:lvl>
    <w:lvl w:ilvl="6" w:tentative="0">
      <w:start w:val="1"/>
      <w:numFmt w:val="decimal"/>
      <w:lvlText w:val="步骤 %7"/>
      <w:lvlJc w:val="right"/>
      <w:pPr>
        <w:tabs>
          <w:tab w:val="left" w:pos="1701"/>
        </w:tabs>
        <w:ind w:left="1701" w:hanging="159"/>
      </w:pPr>
      <w:rPr>
        <w:rFonts w:hint="default" w:ascii="Book Antiqua" w:hAnsi="Book Antiqua" w:eastAsia="黑体" w:cs="Times New Roman"/>
        <w:b w:val="0"/>
        <w:bCs/>
        <w:i w:val="0"/>
        <w:iCs w:val="0"/>
        <w:color w:val="auto"/>
        <w:sz w:val="21"/>
        <w:szCs w:val="21"/>
      </w:rPr>
    </w:lvl>
    <w:lvl w:ilvl="7" w:tentative="0">
      <w:start w:val="1"/>
      <w:numFmt w:val="decimal"/>
      <w:lvlRestart w:val="1"/>
      <w:pStyle w:val="111"/>
      <w:suff w:val="space"/>
      <w:lvlText w:val="图%1-%8"/>
      <w:lvlJc w:val="left"/>
      <w:pPr>
        <w:ind w:left="1701" w:firstLine="0"/>
      </w:pPr>
      <w:rPr>
        <w:rFonts w:hint="default" w:ascii="Times New Roman" w:hAnsi="Times New Roman" w:eastAsia="黑体" w:cs="Book Antiqua"/>
        <w:b w:val="0"/>
        <w:bCs/>
        <w:i w:val="0"/>
        <w:iCs w:val="0"/>
        <w:strike w:val="0"/>
        <w:dstrike w:val="0"/>
        <w:color w:val="auto"/>
        <w:sz w:val="21"/>
        <w:szCs w:val="21"/>
        <w:vertAlign w:val="baseline"/>
        <w14:shadow w14:blurRad="0" w14:dist="0" w14:dir="0" w14:sx="0" w14:sy="0" w14:kx="0" w14:ky="0" w14:algn="none">
          <w14:srgbClr w14:val="000000"/>
        </w14:shadow>
      </w:rPr>
    </w:lvl>
    <w:lvl w:ilvl="8" w:tentative="0">
      <w:start w:val="1"/>
      <w:numFmt w:val="decimal"/>
      <w:lvlRestart w:val="1"/>
      <w:pStyle w:val="104"/>
      <w:suff w:val="space"/>
      <w:lvlText w:val="表%1-%9"/>
      <w:lvlJc w:val="left"/>
      <w:pPr>
        <w:ind w:left="1701" w:firstLine="0"/>
      </w:pPr>
      <w:rPr>
        <w:rFonts w:hint="default" w:ascii="Times New Roman" w:hAnsi="Times New Roman" w:eastAsia="黑体"/>
        <w:b w:val="0"/>
        <w:bCs/>
        <w:i w:val="0"/>
        <w:iCs w:val="0"/>
        <w:color w:val="auto"/>
        <w:sz w:val="21"/>
        <w:szCs w:val="21"/>
      </w:rPr>
    </w:lvl>
  </w:abstractNum>
  <w:abstractNum w:abstractNumId="8">
    <w:nsid w:val="1D5755D3"/>
    <w:multiLevelType w:val="multilevel"/>
    <w:tmpl w:val="1D5755D3"/>
    <w:lvl w:ilvl="0" w:tentative="0">
      <w:start w:val="1"/>
      <w:numFmt w:val="bullet"/>
      <w:pStyle w:val="103"/>
      <w:lvlText w:val=""/>
      <w:lvlJc w:val="left"/>
      <w:pPr>
        <w:tabs>
          <w:tab w:val="left" w:pos="2126"/>
        </w:tabs>
        <w:ind w:left="2126" w:hanging="425"/>
      </w:pPr>
      <w:rPr>
        <w:rFonts w:hint="default" w:ascii="Wingdings" w:hAnsi="Wingdings" w:cs="Wingdings"/>
        <w:b w:val="0"/>
        <w:bCs w:val="0"/>
        <w:i w:val="0"/>
        <w:iCs w:val="0"/>
        <w:caps w:val="0"/>
        <w:strike w:val="0"/>
        <w:dstrike w:val="0"/>
        <w:vanish w:val="0"/>
        <w:color w:val="000000"/>
        <w:spacing w:val="0"/>
        <w:w w:val="100"/>
        <w:position w:val="2"/>
        <w:sz w:val="16"/>
        <w:szCs w:val="16"/>
        <w:vertAlign w:val="baseline"/>
        <w14:shadow w14:blurRad="0" w14:dist="0" w14:dir="0" w14:sx="0" w14:sy="0" w14:kx="0" w14:ky="0" w14:algn="none">
          <w14:srgbClr w14:val="000000"/>
        </w14:shadow>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9">
    <w:nsid w:val="200E01F3"/>
    <w:multiLevelType w:val="multilevel"/>
    <w:tmpl w:val="200E01F3"/>
    <w:lvl w:ilvl="0" w:tentative="0">
      <w:start w:val="1"/>
      <w:numFmt w:val="bullet"/>
      <w:pStyle w:val="68"/>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0">
    <w:nsid w:val="36F76ECC"/>
    <w:multiLevelType w:val="singleLevel"/>
    <w:tmpl w:val="36F76ECC"/>
    <w:lvl w:ilvl="0" w:tentative="0">
      <w:start w:val="1"/>
      <w:numFmt w:val="decimal"/>
      <w:lvlText w:val="%1."/>
      <w:lvlJc w:val="left"/>
      <w:pPr>
        <w:tabs>
          <w:tab w:val="left" w:pos="397"/>
        </w:tabs>
        <w:ind w:left="454" w:hanging="114"/>
      </w:pPr>
      <w:rPr>
        <w:rFonts w:hint="default"/>
      </w:rPr>
    </w:lvl>
  </w:abstractNum>
  <w:abstractNum w:abstractNumId="11">
    <w:nsid w:val="44B8EA12"/>
    <w:multiLevelType w:val="singleLevel"/>
    <w:tmpl w:val="44B8EA12"/>
    <w:lvl w:ilvl="0" w:tentative="0">
      <w:start w:val="18"/>
      <w:numFmt w:val="chineseCounting"/>
      <w:suff w:val="nothing"/>
      <w:lvlText w:val="%1、"/>
      <w:lvlJc w:val="left"/>
      <w:rPr>
        <w:rFonts w:hint="eastAsia"/>
      </w:rPr>
    </w:lvl>
  </w:abstractNum>
  <w:abstractNum w:abstractNumId="12">
    <w:nsid w:val="4D03AB0B"/>
    <w:multiLevelType w:val="singleLevel"/>
    <w:tmpl w:val="4D03AB0B"/>
    <w:lvl w:ilvl="0" w:tentative="0">
      <w:start w:val="1"/>
      <w:numFmt w:val="bullet"/>
      <w:pStyle w:val="15"/>
      <w:lvlText w:val=""/>
      <w:lvlJc w:val="left"/>
      <w:pPr>
        <w:tabs>
          <w:tab w:val="left" w:pos="360"/>
        </w:tabs>
        <w:ind w:left="360" w:hanging="360"/>
      </w:pPr>
      <w:rPr>
        <w:rFonts w:hint="default" w:ascii="Wingdings" w:hAnsi="Wingdings"/>
      </w:rPr>
    </w:lvl>
  </w:abstractNum>
  <w:abstractNum w:abstractNumId="13">
    <w:nsid w:val="5C35237C"/>
    <w:multiLevelType w:val="singleLevel"/>
    <w:tmpl w:val="5C35237C"/>
    <w:lvl w:ilvl="0" w:tentative="0">
      <w:start w:val="1"/>
      <w:numFmt w:val="decimal"/>
      <w:lvlText w:val="%1."/>
      <w:lvlJc w:val="left"/>
      <w:pPr>
        <w:tabs>
          <w:tab w:val="left" w:pos="397"/>
        </w:tabs>
        <w:ind w:left="454" w:hanging="114"/>
      </w:pPr>
      <w:rPr>
        <w:rFonts w:hint="default"/>
      </w:rPr>
    </w:lvl>
  </w:abstractNum>
  <w:abstractNum w:abstractNumId="14">
    <w:nsid w:val="6E230785"/>
    <w:multiLevelType w:val="multilevel"/>
    <w:tmpl w:val="6E230785"/>
    <w:lvl w:ilvl="0" w:tentative="0">
      <w:start w:val="1"/>
      <w:numFmt w:val="bullet"/>
      <w:pStyle w:val="107"/>
      <w:lvlText w:val=""/>
      <w:lvlJc w:val="left"/>
      <w:pPr>
        <w:tabs>
          <w:tab w:val="left" w:pos="170"/>
        </w:tabs>
        <w:ind w:left="170" w:hanging="170"/>
      </w:pPr>
      <w:rPr>
        <w:rFonts w:hint="default" w:ascii="Wingdings" w:hAnsi="Wingdings" w:eastAsia="宋体"/>
        <w:b w:val="0"/>
        <w:i w:val="0"/>
        <w:color w:val="auto"/>
        <w:position w:val="3"/>
        <w:sz w:val="13"/>
        <w:szCs w:val="13"/>
      </w:rPr>
    </w:lvl>
    <w:lvl w:ilvl="1" w:tentative="0">
      <w:start w:val="1"/>
      <w:numFmt w:val="lowerLetter"/>
      <w:lvlText w:val="%2."/>
      <w:lvlJc w:val="left"/>
      <w:pPr>
        <w:tabs>
          <w:tab w:val="left" w:pos="284"/>
        </w:tabs>
        <w:ind w:left="568" w:hanging="284"/>
      </w:pPr>
      <w:rPr>
        <w:rFonts w:hint="default" w:ascii="Times New Roman" w:hAnsi="Times New Roman" w:cs="Book Antiqua"/>
        <w:b w:val="0"/>
        <w:bCs/>
        <w:i w:val="0"/>
        <w:iCs w:val="0"/>
        <w:sz w:val="21"/>
        <w:szCs w:val="21"/>
        <w:u w:val="none"/>
      </w:rPr>
    </w:lvl>
    <w:lvl w:ilvl="2" w:tentative="0">
      <w:start w:val="1"/>
      <w:numFmt w:val="bullet"/>
      <w:pStyle w:val="108"/>
      <w:lvlText w:val="−"/>
      <w:lvlJc w:val="left"/>
      <w:pPr>
        <w:tabs>
          <w:tab w:val="left" w:pos="568"/>
        </w:tabs>
        <w:ind w:left="568" w:hanging="284"/>
      </w:pPr>
      <w:rPr>
        <w:rFonts w:hint="default" w:ascii="Times New Roman" w:hAnsi="Times New Roman" w:cs="Times New Roman"/>
        <w:sz w:val="16"/>
        <w:szCs w:val="16"/>
      </w:rPr>
    </w:lvl>
    <w:lvl w:ilvl="3" w:tentative="0">
      <w:start w:val="1"/>
      <w:numFmt w:val="decimal"/>
      <w:lvlText w:val="%4."/>
      <w:lvlJc w:val="left"/>
      <w:pPr>
        <w:tabs>
          <w:tab w:val="left" w:pos="284"/>
        </w:tabs>
        <w:ind w:left="568" w:hanging="284"/>
      </w:pPr>
      <w:rPr>
        <w:rFonts w:hint="default" w:ascii="Times New Roman" w:hAnsi="Times New Roman" w:cs="Book Antiqua"/>
        <w:b w:val="0"/>
        <w:bCs/>
        <w:i w:val="0"/>
        <w:iCs w:val="0"/>
        <w:sz w:val="21"/>
        <w:szCs w:val="21"/>
        <w:u w:val="none"/>
      </w:rPr>
    </w:lvl>
    <w:lvl w:ilvl="4" w:tentative="0">
      <w:start w:val="1"/>
      <w:numFmt w:val="bullet"/>
      <w:lvlText w:val=""/>
      <w:lvlJc w:val="left"/>
      <w:pPr>
        <w:tabs>
          <w:tab w:val="left" w:pos="568"/>
        </w:tabs>
        <w:ind w:left="568" w:hanging="284"/>
      </w:pPr>
      <w:rPr>
        <w:rFonts w:hint="default" w:ascii="Wingdings" w:hAnsi="Wingdings" w:eastAsia="宋体"/>
        <w:b w:val="0"/>
        <w:i w:val="0"/>
        <w:color w:val="auto"/>
        <w:position w:val="3"/>
        <w:sz w:val="13"/>
        <w:szCs w:val="13"/>
      </w:rPr>
    </w:lvl>
    <w:lvl w:ilvl="5" w:tentative="0">
      <w:start w:val="1"/>
      <w:numFmt w:val="decimal"/>
      <w:lvlText w:val="%6."/>
      <w:lvlJc w:val="left"/>
      <w:pPr>
        <w:tabs>
          <w:tab w:val="left" w:pos="1985"/>
        </w:tabs>
        <w:ind w:left="1985" w:hanging="284"/>
      </w:pPr>
      <w:rPr>
        <w:rFonts w:hint="default" w:ascii="Times New Roman" w:hAnsi="Times New Roman" w:cs="Book Antiqua"/>
        <w:color w:val="auto"/>
        <w:spacing w:val="0"/>
        <w:w w:val="100"/>
        <w:position w:val="1"/>
        <w:sz w:val="21"/>
        <w:szCs w:val="21"/>
      </w:rPr>
    </w:lvl>
    <w:lvl w:ilvl="6" w:tentative="0">
      <w:start w:val="1"/>
      <w:numFmt w:val="decimal"/>
      <w:lvlText w:val="%7."/>
      <w:lvlJc w:val="left"/>
      <w:pPr>
        <w:tabs>
          <w:tab w:val="left" w:pos="2359"/>
        </w:tabs>
        <w:ind w:left="2359" w:hanging="284"/>
      </w:pPr>
      <w:rPr>
        <w:rFonts w:hint="default" w:ascii="Times New Roman" w:hAnsi="Times New Roman" w:cs="Book Antiqua"/>
        <w:color w:val="auto"/>
        <w:spacing w:val="0"/>
        <w:w w:val="100"/>
        <w:position w:val="1"/>
        <w:sz w:val="18"/>
        <w:szCs w:val="18"/>
      </w:rPr>
    </w:lvl>
    <w:lvl w:ilvl="7" w:tentative="0">
      <w:start w:val="1"/>
      <w:numFmt w:val="decimal"/>
      <w:lvlText w:val="%8."/>
      <w:lvlJc w:val="left"/>
      <w:pPr>
        <w:tabs>
          <w:tab w:val="left" w:pos="454"/>
        </w:tabs>
        <w:ind w:left="454" w:hanging="284"/>
      </w:pPr>
      <w:rPr>
        <w:rFonts w:hint="default" w:ascii="Times New Roman" w:hAnsi="Times New Roman" w:cs="Book Antiqua"/>
        <w:color w:val="auto"/>
        <w:spacing w:val="0"/>
        <w:w w:val="100"/>
        <w:position w:val="1"/>
        <w:sz w:val="18"/>
        <w:szCs w:val="18"/>
      </w:rPr>
    </w:lvl>
    <w:lvl w:ilvl="8" w:tentative="0">
      <w:start w:val="1"/>
      <w:numFmt w:val="bullet"/>
      <w:lvlText w:val=""/>
      <w:lvlJc w:val="left"/>
      <w:pPr>
        <w:tabs>
          <w:tab w:val="left" w:pos="3780"/>
        </w:tabs>
        <w:ind w:left="3780" w:hanging="420"/>
      </w:pPr>
      <w:rPr>
        <w:rFonts w:hint="default" w:ascii="Wingdings" w:hAnsi="Wingdings"/>
      </w:rPr>
    </w:lvl>
  </w:abstractNum>
  <w:abstractNum w:abstractNumId="15">
    <w:nsid w:val="736D0E6E"/>
    <w:multiLevelType w:val="multilevel"/>
    <w:tmpl w:val="736D0E6E"/>
    <w:lvl w:ilvl="0" w:tentative="0">
      <w:start w:val="1"/>
      <w:numFmt w:val="chineseCounting"/>
      <w:pStyle w:val="2"/>
      <w:lvlText w:val="第%1章 "/>
      <w:lvlJc w:val="left"/>
      <w:pPr>
        <w:tabs>
          <w:tab w:val="left" w:pos="0"/>
        </w:tabs>
        <w:ind w:left="0" w:firstLine="0"/>
      </w:pPr>
      <w:rPr>
        <w:rFonts w:hint="eastAsia"/>
      </w:rPr>
    </w:lvl>
    <w:lvl w:ilvl="1" w:tentative="0">
      <w:start w:val="1"/>
      <w:numFmt w:val="decimal"/>
      <w:pStyle w:val="3"/>
      <w:isLgl/>
      <w:lvlText w:val="%1.%2."/>
      <w:lvlJc w:val="left"/>
      <w:pPr>
        <w:tabs>
          <w:tab w:val="left" w:pos="0"/>
        </w:tabs>
        <w:ind w:left="0" w:firstLine="0"/>
      </w:pPr>
      <w:rPr>
        <w:rFonts w:hint="eastAsia"/>
      </w:rPr>
    </w:lvl>
    <w:lvl w:ilvl="2" w:tentative="0">
      <w:start w:val="1"/>
      <w:numFmt w:val="decimal"/>
      <w:pStyle w:val="4"/>
      <w:isLgl/>
      <w:suff w:val="space"/>
      <w:lvlText w:val="%1.%2.%3."/>
      <w:lvlJc w:val="left"/>
      <w:pPr>
        <w:ind w:left="0" w:firstLine="0"/>
      </w:pPr>
      <w:rPr>
        <w:rFonts w:hint="eastAsia"/>
      </w:rPr>
    </w:lvl>
    <w:lvl w:ilvl="3" w:tentative="0">
      <w:start w:val="1"/>
      <w:numFmt w:val="decimal"/>
      <w:pStyle w:val="5"/>
      <w:isLgl/>
      <w:lvlText w:val="%1.%2.%3.%4."/>
      <w:lvlJc w:val="left"/>
      <w:pPr>
        <w:tabs>
          <w:tab w:val="left" w:pos="0"/>
        </w:tabs>
        <w:ind w:left="0" w:firstLine="0"/>
      </w:pPr>
      <w:rPr>
        <w:rFonts w:hint="eastAsia"/>
      </w:rPr>
    </w:lvl>
    <w:lvl w:ilvl="4" w:tentative="0">
      <w:start w:val="1"/>
      <w:numFmt w:val="decimal"/>
      <w:pStyle w:val="6"/>
      <w:isLgl/>
      <w:lvlText w:val="%1.%2.%3.%4.%5."/>
      <w:lvlJc w:val="left"/>
      <w:pPr>
        <w:tabs>
          <w:tab w:val="left" w:pos="0"/>
        </w:tabs>
        <w:ind w:left="0" w:firstLine="0"/>
      </w:pPr>
      <w:rPr>
        <w:rFonts w:hint="eastAsia"/>
      </w:rPr>
    </w:lvl>
    <w:lvl w:ilvl="5" w:tentative="0">
      <w:start w:val="1"/>
      <w:numFmt w:val="decimal"/>
      <w:pStyle w:val="7"/>
      <w:isLgl/>
      <w:lvlText w:val="%1.%2.%3.%4.%5.%6."/>
      <w:lvlJc w:val="left"/>
      <w:pPr>
        <w:tabs>
          <w:tab w:val="left" w:pos="0"/>
        </w:tabs>
        <w:ind w:left="0" w:firstLine="0"/>
      </w:pPr>
      <w:rPr>
        <w:rFonts w:hint="eastAsia"/>
      </w:rPr>
    </w:lvl>
    <w:lvl w:ilvl="6" w:tentative="0">
      <w:start w:val="1"/>
      <w:numFmt w:val="decimal"/>
      <w:pStyle w:val="8"/>
      <w:isLgl/>
      <w:lvlText w:val="%1.%2.%3.%4.%5.%6.%7."/>
      <w:lvlJc w:val="left"/>
      <w:pPr>
        <w:ind w:left="1296" w:hanging="1296"/>
      </w:pPr>
      <w:rPr>
        <w:rFonts w:hint="eastAsia"/>
      </w:rPr>
    </w:lvl>
    <w:lvl w:ilvl="7" w:tentative="0">
      <w:start w:val="1"/>
      <w:numFmt w:val="decimal"/>
      <w:pStyle w:val="9"/>
      <w:isLgl/>
      <w:lvlText w:val="%1.%2.%3.%4.%5.%6.%7.%8."/>
      <w:lvlJc w:val="left"/>
      <w:pPr>
        <w:ind w:left="1440" w:hanging="1440"/>
      </w:pPr>
      <w:rPr>
        <w:rFonts w:hint="eastAsia"/>
      </w:rPr>
    </w:lvl>
    <w:lvl w:ilvl="8" w:tentative="0">
      <w:start w:val="1"/>
      <w:numFmt w:val="decimal"/>
      <w:pStyle w:val="10"/>
      <w:isLgl/>
      <w:lvlText w:val="%1.%2.%3.%4.%5.%6.%7.%8.%9."/>
      <w:lvlJc w:val="left"/>
      <w:pPr>
        <w:ind w:left="1583" w:hanging="1583"/>
      </w:pPr>
      <w:rPr>
        <w:rFonts w:hint="eastAsia"/>
      </w:rPr>
    </w:lvl>
  </w:abstractNum>
  <w:abstractNum w:abstractNumId="16">
    <w:nsid w:val="7998064B"/>
    <w:multiLevelType w:val="multilevel"/>
    <w:tmpl w:val="7998064B"/>
    <w:lvl w:ilvl="0" w:tentative="0">
      <w:start w:val="1"/>
      <w:numFmt w:val="bullet"/>
      <w:lvlText w:val=""/>
      <w:lvlJc w:val="left"/>
      <w:pPr>
        <w:ind w:left="780" w:hanging="420"/>
      </w:pPr>
      <w:rPr>
        <w:rFonts w:hint="default" w:ascii="Wingdings" w:hAnsi="Wingdings"/>
      </w:rPr>
    </w:lvl>
    <w:lvl w:ilvl="1" w:tentative="0">
      <w:start w:val="1"/>
      <w:numFmt w:val="bullet"/>
      <w:lvlText w:val=""/>
      <w:lvlJc w:val="left"/>
      <w:pPr>
        <w:ind w:left="1200" w:hanging="420"/>
      </w:pPr>
      <w:rPr>
        <w:rFonts w:hint="default" w:ascii="Wingdings" w:hAnsi="Wingdings"/>
      </w:rPr>
    </w:lvl>
    <w:lvl w:ilvl="2" w:tentative="0">
      <w:start w:val="1"/>
      <w:numFmt w:val="bullet"/>
      <w:lvlText w:val=""/>
      <w:lvlJc w:val="left"/>
      <w:pPr>
        <w:ind w:left="1620" w:hanging="420"/>
      </w:pPr>
      <w:rPr>
        <w:rFonts w:hint="default" w:ascii="Wingdings" w:hAnsi="Wingdings"/>
      </w:rPr>
    </w:lvl>
    <w:lvl w:ilvl="3" w:tentative="0">
      <w:start w:val="1"/>
      <w:numFmt w:val="bullet"/>
      <w:lvlText w:val=""/>
      <w:lvlJc w:val="left"/>
      <w:pPr>
        <w:ind w:left="2040" w:hanging="420"/>
      </w:pPr>
      <w:rPr>
        <w:rFonts w:hint="default" w:ascii="Wingdings" w:hAnsi="Wingdings"/>
      </w:rPr>
    </w:lvl>
    <w:lvl w:ilvl="4" w:tentative="0">
      <w:start w:val="1"/>
      <w:numFmt w:val="bullet"/>
      <w:lvlText w:val=""/>
      <w:lvlJc w:val="left"/>
      <w:pPr>
        <w:ind w:left="2460" w:hanging="420"/>
      </w:pPr>
      <w:rPr>
        <w:rFonts w:hint="default" w:ascii="Wingdings" w:hAnsi="Wingdings"/>
      </w:rPr>
    </w:lvl>
    <w:lvl w:ilvl="5" w:tentative="0">
      <w:start w:val="1"/>
      <w:numFmt w:val="bullet"/>
      <w:lvlText w:val=""/>
      <w:lvlJc w:val="left"/>
      <w:pPr>
        <w:ind w:left="2880" w:hanging="420"/>
      </w:pPr>
      <w:rPr>
        <w:rFonts w:hint="default" w:ascii="Wingdings" w:hAnsi="Wingdings"/>
      </w:rPr>
    </w:lvl>
    <w:lvl w:ilvl="6" w:tentative="0">
      <w:start w:val="1"/>
      <w:numFmt w:val="bullet"/>
      <w:lvlText w:val=""/>
      <w:lvlJc w:val="left"/>
      <w:pPr>
        <w:ind w:left="3300" w:hanging="420"/>
      </w:pPr>
      <w:rPr>
        <w:rFonts w:hint="default" w:ascii="Wingdings" w:hAnsi="Wingdings"/>
      </w:rPr>
    </w:lvl>
    <w:lvl w:ilvl="7" w:tentative="0">
      <w:start w:val="1"/>
      <w:numFmt w:val="bullet"/>
      <w:lvlText w:val=""/>
      <w:lvlJc w:val="left"/>
      <w:pPr>
        <w:ind w:left="3720" w:hanging="420"/>
      </w:pPr>
      <w:rPr>
        <w:rFonts w:hint="default" w:ascii="Wingdings" w:hAnsi="Wingdings"/>
      </w:rPr>
    </w:lvl>
    <w:lvl w:ilvl="8" w:tentative="0">
      <w:start w:val="1"/>
      <w:numFmt w:val="bullet"/>
      <w:lvlText w:val=""/>
      <w:lvlJc w:val="left"/>
      <w:pPr>
        <w:ind w:left="4140" w:hanging="420"/>
      </w:pPr>
      <w:rPr>
        <w:rFonts w:hint="default" w:ascii="Wingdings" w:hAnsi="Wingdings"/>
      </w:rPr>
    </w:lvl>
  </w:abstractNum>
  <w:num w:numId="1">
    <w:abstractNumId w:val="15"/>
  </w:num>
  <w:num w:numId="2">
    <w:abstractNumId w:val="12"/>
  </w:num>
  <w:num w:numId="3">
    <w:abstractNumId w:val="9"/>
  </w:num>
  <w:num w:numId="4">
    <w:abstractNumId w:val="8"/>
  </w:num>
  <w:num w:numId="5">
    <w:abstractNumId w:val="7"/>
  </w:num>
  <w:num w:numId="6">
    <w:abstractNumId w:val="14"/>
  </w:num>
  <w:num w:numId="7">
    <w:abstractNumId w:val="6"/>
  </w:num>
  <w:num w:numId="8">
    <w:abstractNumId w:val="4"/>
  </w:num>
  <w:num w:numId="9">
    <w:abstractNumId w:val="3"/>
  </w:num>
  <w:num w:numId="10">
    <w:abstractNumId w:val="13"/>
  </w:num>
  <w:num w:numId="11">
    <w:abstractNumId w:val="10"/>
  </w:num>
  <w:num w:numId="12">
    <w:abstractNumId w:val="0"/>
  </w:num>
  <w:num w:numId="13">
    <w:abstractNumId w:val="1"/>
  </w:num>
  <w:num w:numId="14">
    <w:abstractNumId w:val="2"/>
  </w:num>
  <w:num w:numId="15">
    <w:abstractNumId w:val="11"/>
  </w:num>
  <w:num w:numId="16">
    <w:abstractNumId w:val="16"/>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embedSystemFonts/>
  <w:bordersDoNotSurroundHeader w:val="0"/>
  <w:bordersDoNotSurroundFooter w:val="0"/>
  <w:documentProtection w:enforcement="0"/>
  <w:defaultTabStop w:val="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B14"/>
    <w:rsid w:val="000028BC"/>
    <w:rsid w:val="00015FBF"/>
    <w:rsid w:val="00021025"/>
    <w:rsid w:val="000238C5"/>
    <w:rsid w:val="00032A30"/>
    <w:rsid w:val="00032DEB"/>
    <w:rsid w:val="0004023B"/>
    <w:rsid w:val="00040FDD"/>
    <w:rsid w:val="00044037"/>
    <w:rsid w:val="0004453A"/>
    <w:rsid w:val="00056F5C"/>
    <w:rsid w:val="00060274"/>
    <w:rsid w:val="00060496"/>
    <w:rsid w:val="00067B7F"/>
    <w:rsid w:val="000745C1"/>
    <w:rsid w:val="0008283B"/>
    <w:rsid w:val="00082E43"/>
    <w:rsid w:val="000A5B38"/>
    <w:rsid w:val="000D23B4"/>
    <w:rsid w:val="000E4FE0"/>
    <w:rsid w:val="000F25D8"/>
    <w:rsid w:val="000F672F"/>
    <w:rsid w:val="000F6EAD"/>
    <w:rsid w:val="00103F74"/>
    <w:rsid w:val="001074AB"/>
    <w:rsid w:val="00114697"/>
    <w:rsid w:val="001174DD"/>
    <w:rsid w:val="00125DEE"/>
    <w:rsid w:val="001269C9"/>
    <w:rsid w:val="001274C7"/>
    <w:rsid w:val="00134753"/>
    <w:rsid w:val="00141501"/>
    <w:rsid w:val="00141C37"/>
    <w:rsid w:val="00141E78"/>
    <w:rsid w:val="00150A52"/>
    <w:rsid w:val="00152462"/>
    <w:rsid w:val="00155351"/>
    <w:rsid w:val="001567E5"/>
    <w:rsid w:val="00175068"/>
    <w:rsid w:val="00182813"/>
    <w:rsid w:val="001911E7"/>
    <w:rsid w:val="00193B84"/>
    <w:rsid w:val="0019621E"/>
    <w:rsid w:val="00197711"/>
    <w:rsid w:val="001A14D2"/>
    <w:rsid w:val="001A230C"/>
    <w:rsid w:val="001B27F0"/>
    <w:rsid w:val="001B52CA"/>
    <w:rsid w:val="001C079B"/>
    <w:rsid w:val="001C1F79"/>
    <w:rsid w:val="001C66E0"/>
    <w:rsid w:val="001E5888"/>
    <w:rsid w:val="001E7ED8"/>
    <w:rsid w:val="001F3D90"/>
    <w:rsid w:val="002079B5"/>
    <w:rsid w:val="00207C17"/>
    <w:rsid w:val="0021132D"/>
    <w:rsid w:val="00214697"/>
    <w:rsid w:val="0022608D"/>
    <w:rsid w:val="00232BE9"/>
    <w:rsid w:val="00242704"/>
    <w:rsid w:val="00246D63"/>
    <w:rsid w:val="00255D2C"/>
    <w:rsid w:val="002578A4"/>
    <w:rsid w:val="00260825"/>
    <w:rsid w:val="00261336"/>
    <w:rsid w:val="002776F4"/>
    <w:rsid w:val="00292D15"/>
    <w:rsid w:val="00292D44"/>
    <w:rsid w:val="002933B0"/>
    <w:rsid w:val="00294D98"/>
    <w:rsid w:val="002A088C"/>
    <w:rsid w:val="002A4C85"/>
    <w:rsid w:val="002A65BA"/>
    <w:rsid w:val="002A7F94"/>
    <w:rsid w:val="002B05BA"/>
    <w:rsid w:val="002B67BE"/>
    <w:rsid w:val="002C48FE"/>
    <w:rsid w:val="002C5F15"/>
    <w:rsid w:val="002E5E85"/>
    <w:rsid w:val="002F38D6"/>
    <w:rsid w:val="003041E7"/>
    <w:rsid w:val="003112F5"/>
    <w:rsid w:val="00315257"/>
    <w:rsid w:val="003267F9"/>
    <w:rsid w:val="00331B80"/>
    <w:rsid w:val="003404BC"/>
    <w:rsid w:val="003473F5"/>
    <w:rsid w:val="00352B27"/>
    <w:rsid w:val="003553B6"/>
    <w:rsid w:val="00360F72"/>
    <w:rsid w:val="00366AA5"/>
    <w:rsid w:val="00372F47"/>
    <w:rsid w:val="00376069"/>
    <w:rsid w:val="00384368"/>
    <w:rsid w:val="003A5018"/>
    <w:rsid w:val="003A630E"/>
    <w:rsid w:val="003B30AC"/>
    <w:rsid w:val="003B7E56"/>
    <w:rsid w:val="003C2DBD"/>
    <w:rsid w:val="003C56DD"/>
    <w:rsid w:val="003C6C4F"/>
    <w:rsid w:val="003C6F1C"/>
    <w:rsid w:val="003D49F4"/>
    <w:rsid w:val="003D71F4"/>
    <w:rsid w:val="003D7201"/>
    <w:rsid w:val="003F564C"/>
    <w:rsid w:val="0040134A"/>
    <w:rsid w:val="00413CCF"/>
    <w:rsid w:val="00420FA5"/>
    <w:rsid w:val="0042347F"/>
    <w:rsid w:val="00426985"/>
    <w:rsid w:val="00432B13"/>
    <w:rsid w:val="00444324"/>
    <w:rsid w:val="004500EB"/>
    <w:rsid w:val="00451FF7"/>
    <w:rsid w:val="00454F3C"/>
    <w:rsid w:val="00460E30"/>
    <w:rsid w:val="0046786B"/>
    <w:rsid w:val="00480DA9"/>
    <w:rsid w:val="004844EC"/>
    <w:rsid w:val="00494D5D"/>
    <w:rsid w:val="00495255"/>
    <w:rsid w:val="004C0647"/>
    <w:rsid w:val="004C0CD9"/>
    <w:rsid w:val="004C4876"/>
    <w:rsid w:val="004D59DD"/>
    <w:rsid w:val="004F1796"/>
    <w:rsid w:val="004F2D38"/>
    <w:rsid w:val="004F4201"/>
    <w:rsid w:val="004F6812"/>
    <w:rsid w:val="00507094"/>
    <w:rsid w:val="00507FDE"/>
    <w:rsid w:val="005206A0"/>
    <w:rsid w:val="00523AB9"/>
    <w:rsid w:val="005313AD"/>
    <w:rsid w:val="005404CF"/>
    <w:rsid w:val="00545288"/>
    <w:rsid w:val="00570B98"/>
    <w:rsid w:val="005711EA"/>
    <w:rsid w:val="005721FF"/>
    <w:rsid w:val="00575F86"/>
    <w:rsid w:val="005763DF"/>
    <w:rsid w:val="00582DBB"/>
    <w:rsid w:val="005906FD"/>
    <w:rsid w:val="005949AB"/>
    <w:rsid w:val="005A00E4"/>
    <w:rsid w:val="005B0682"/>
    <w:rsid w:val="005B1F9A"/>
    <w:rsid w:val="005B5816"/>
    <w:rsid w:val="005B5BDD"/>
    <w:rsid w:val="005C0779"/>
    <w:rsid w:val="005D3030"/>
    <w:rsid w:val="005D6C0B"/>
    <w:rsid w:val="005E6CE3"/>
    <w:rsid w:val="005F1EAF"/>
    <w:rsid w:val="005F2E2C"/>
    <w:rsid w:val="0061229F"/>
    <w:rsid w:val="0061728C"/>
    <w:rsid w:val="00617B42"/>
    <w:rsid w:val="00620557"/>
    <w:rsid w:val="0064052B"/>
    <w:rsid w:val="006477E6"/>
    <w:rsid w:val="00652670"/>
    <w:rsid w:val="00653879"/>
    <w:rsid w:val="00661E65"/>
    <w:rsid w:val="006731C0"/>
    <w:rsid w:val="00676B96"/>
    <w:rsid w:val="00677D41"/>
    <w:rsid w:val="00682403"/>
    <w:rsid w:val="0069229D"/>
    <w:rsid w:val="006933E6"/>
    <w:rsid w:val="00694BF4"/>
    <w:rsid w:val="0069726A"/>
    <w:rsid w:val="006A42C3"/>
    <w:rsid w:val="006B0940"/>
    <w:rsid w:val="006B1B18"/>
    <w:rsid w:val="006B4BA7"/>
    <w:rsid w:val="006C145C"/>
    <w:rsid w:val="006C48A5"/>
    <w:rsid w:val="006C7699"/>
    <w:rsid w:val="006D4F13"/>
    <w:rsid w:val="006E105D"/>
    <w:rsid w:val="006E7942"/>
    <w:rsid w:val="006E7CEA"/>
    <w:rsid w:val="00702D97"/>
    <w:rsid w:val="00704B41"/>
    <w:rsid w:val="00705FB8"/>
    <w:rsid w:val="00706845"/>
    <w:rsid w:val="0071349A"/>
    <w:rsid w:val="00713572"/>
    <w:rsid w:val="007205FE"/>
    <w:rsid w:val="007218BC"/>
    <w:rsid w:val="0073099C"/>
    <w:rsid w:val="00730AE6"/>
    <w:rsid w:val="007369B6"/>
    <w:rsid w:val="0073715A"/>
    <w:rsid w:val="00740219"/>
    <w:rsid w:val="00741113"/>
    <w:rsid w:val="00741AC5"/>
    <w:rsid w:val="0075692A"/>
    <w:rsid w:val="00762B62"/>
    <w:rsid w:val="007757B4"/>
    <w:rsid w:val="00776872"/>
    <w:rsid w:val="00781573"/>
    <w:rsid w:val="007903C5"/>
    <w:rsid w:val="00797F4C"/>
    <w:rsid w:val="007A217B"/>
    <w:rsid w:val="007A51E7"/>
    <w:rsid w:val="007B001B"/>
    <w:rsid w:val="007B26BE"/>
    <w:rsid w:val="007B3181"/>
    <w:rsid w:val="007C4D48"/>
    <w:rsid w:val="007C5171"/>
    <w:rsid w:val="007C5359"/>
    <w:rsid w:val="007D1B51"/>
    <w:rsid w:val="007D1BDC"/>
    <w:rsid w:val="007D2035"/>
    <w:rsid w:val="007D2B0F"/>
    <w:rsid w:val="007D6B6E"/>
    <w:rsid w:val="007E1FD6"/>
    <w:rsid w:val="007E4B7D"/>
    <w:rsid w:val="007E5121"/>
    <w:rsid w:val="007F0F9F"/>
    <w:rsid w:val="00803113"/>
    <w:rsid w:val="008046BC"/>
    <w:rsid w:val="008132E9"/>
    <w:rsid w:val="0081477A"/>
    <w:rsid w:val="008165AB"/>
    <w:rsid w:val="00823D85"/>
    <w:rsid w:val="00831B12"/>
    <w:rsid w:val="00836449"/>
    <w:rsid w:val="00836AFD"/>
    <w:rsid w:val="00840EE7"/>
    <w:rsid w:val="00850728"/>
    <w:rsid w:val="008507E6"/>
    <w:rsid w:val="008567B7"/>
    <w:rsid w:val="008656F2"/>
    <w:rsid w:val="00894455"/>
    <w:rsid w:val="008A5166"/>
    <w:rsid w:val="008A7A77"/>
    <w:rsid w:val="008B323B"/>
    <w:rsid w:val="008B58A8"/>
    <w:rsid w:val="008C3CDF"/>
    <w:rsid w:val="008C45D9"/>
    <w:rsid w:val="008C70B2"/>
    <w:rsid w:val="008D5E73"/>
    <w:rsid w:val="008D6598"/>
    <w:rsid w:val="008E59B6"/>
    <w:rsid w:val="008F33AC"/>
    <w:rsid w:val="008F49A9"/>
    <w:rsid w:val="008F680D"/>
    <w:rsid w:val="008F7785"/>
    <w:rsid w:val="0090127C"/>
    <w:rsid w:val="00903229"/>
    <w:rsid w:val="009106BF"/>
    <w:rsid w:val="00914BB7"/>
    <w:rsid w:val="00915DA5"/>
    <w:rsid w:val="0091676C"/>
    <w:rsid w:val="009176DB"/>
    <w:rsid w:val="00923071"/>
    <w:rsid w:val="00926A73"/>
    <w:rsid w:val="00927175"/>
    <w:rsid w:val="009346EB"/>
    <w:rsid w:val="00934F04"/>
    <w:rsid w:val="0094206A"/>
    <w:rsid w:val="0094628E"/>
    <w:rsid w:val="009507AE"/>
    <w:rsid w:val="009638BB"/>
    <w:rsid w:val="009741DE"/>
    <w:rsid w:val="00995180"/>
    <w:rsid w:val="009A61BD"/>
    <w:rsid w:val="009A638B"/>
    <w:rsid w:val="009B57F7"/>
    <w:rsid w:val="009E17F6"/>
    <w:rsid w:val="009E3FF9"/>
    <w:rsid w:val="009E51B3"/>
    <w:rsid w:val="009E51F6"/>
    <w:rsid w:val="009E7FD7"/>
    <w:rsid w:val="009F2160"/>
    <w:rsid w:val="00A0756E"/>
    <w:rsid w:val="00A25B14"/>
    <w:rsid w:val="00A323DE"/>
    <w:rsid w:val="00A35DD5"/>
    <w:rsid w:val="00A36A90"/>
    <w:rsid w:val="00A4170E"/>
    <w:rsid w:val="00A456DC"/>
    <w:rsid w:val="00A47D6B"/>
    <w:rsid w:val="00A52898"/>
    <w:rsid w:val="00A572D6"/>
    <w:rsid w:val="00A764F3"/>
    <w:rsid w:val="00A77256"/>
    <w:rsid w:val="00A8450C"/>
    <w:rsid w:val="00A91DEE"/>
    <w:rsid w:val="00A9608C"/>
    <w:rsid w:val="00AA287F"/>
    <w:rsid w:val="00AA36B0"/>
    <w:rsid w:val="00AB7750"/>
    <w:rsid w:val="00AC3875"/>
    <w:rsid w:val="00AD0C9E"/>
    <w:rsid w:val="00AD0F1B"/>
    <w:rsid w:val="00AD5B07"/>
    <w:rsid w:val="00AE1291"/>
    <w:rsid w:val="00AE30B0"/>
    <w:rsid w:val="00AE50A6"/>
    <w:rsid w:val="00AE5BDF"/>
    <w:rsid w:val="00AE7ECA"/>
    <w:rsid w:val="00AF1907"/>
    <w:rsid w:val="00AF414D"/>
    <w:rsid w:val="00B16B64"/>
    <w:rsid w:val="00B32157"/>
    <w:rsid w:val="00B326EF"/>
    <w:rsid w:val="00B3299A"/>
    <w:rsid w:val="00B412F5"/>
    <w:rsid w:val="00B4232F"/>
    <w:rsid w:val="00B438E5"/>
    <w:rsid w:val="00B46F3A"/>
    <w:rsid w:val="00B54526"/>
    <w:rsid w:val="00B6261E"/>
    <w:rsid w:val="00B63AF3"/>
    <w:rsid w:val="00B648AB"/>
    <w:rsid w:val="00B6707C"/>
    <w:rsid w:val="00B703A4"/>
    <w:rsid w:val="00B72BC7"/>
    <w:rsid w:val="00B8424F"/>
    <w:rsid w:val="00B903E0"/>
    <w:rsid w:val="00B94230"/>
    <w:rsid w:val="00B94AB5"/>
    <w:rsid w:val="00B9520C"/>
    <w:rsid w:val="00BA09AB"/>
    <w:rsid w:val="00BA3DAF"/>
    <w:rsid w:val="00BA6816"/>
    <w:rsid w:val="00BB194E"/>
    <w:rsid w:val="00BC191C"/>
    <w:rsid w:val="00BC52D6"/>
    <w:rsid w:val="00BC6394"/>
    <w:rsid w:val="00BC78BC"/>
    <w:rsid w:val="00BD0476"/>
    <w:rsid w:val="00BD1DCE"/>
    <w:rsid w:val="00BD39E9"/>
    <w:rsid w:val="00BD4B92"/>
    <w:rsid w:val="00BE2346"/>
    <w:rsid w:val="00C038A5"/>
    <w:rsid w:val="00C04BE6"/>
    <w:rsid w:val="00C05A57"/>
    <w:rsid w:val="00C13842"/>
    <w:rsid w:val="00C14515"/>
    <w:rsid w:val="00C20C44"/>
    <w:rsid w:val="00C21545"/>
    <w:rsid w:val="00C232D6"/>
    <w:rsid w:val="00C30568"/>
    <w:rsid w:val="00C314D0"/>
    <w:rsid w:val="00C575E9"/>
    <w:rsid w:val="00C658D9"/>
    <w:rsid w:val="00C74AC4"/>
    <w:rsid w:val="00C80962"/>
    <w:rsid w:val="00C86F8E"/>
    <w:rsid w:val="00CA3964"/>
    <w:rsid w:val="00CB2DD9"/>
    <w:rsid w:val="00CC3C17"/>
    <w:rsid w:val="00CC5AF0"/>
    <w:rsid w:val="00CD039F"/>
    <w:rsid w:val="00CE0493"/>
    <w:rsid w:val="00CE4BAA"/>
    <w:rsid w:val="00CE5193"/>
    <w:rsid w:val="00CF6F07"/>
    <w:rsid w:val="00D048A1"/>
    <w:rsid w:val="00D22D93"/>
    <w:rsid w:val="00D23366"/>
    <w:rsid w:val="00D2536F"/>
    <w:rsid w:val="00D3158E"/>
    <w:rsid w:val="00D3530B"/>
    <w:rsid w:val="00D3540C"/>
    <w:rsid w:val="00D37D2E"/>
    <w:rsid w:val="00D4592A"/>
    <w:rsid w:val="00D60C15"/>
    <w:rsid w:val="00D67325"/>
    <w:rsid w:val="00D70859"/>
    <w:rsid w:val="00D75229"/>
    <w:rsid w:val="00D76E91"/>
    <w:rsid w:val="00D77D06"/>
    <w:rsid w:val="00D85184"/>
    <w:rsid w:val="00D855FE"/>
    <w:rsid w:val="00DA1DF5"/>
    <w:rsid w:val="00DA3071"/>
    <w:rsid w:val="00DA4F8D"/>
    <w:rsid w:val="00DA593E"/>
    <w:rsid w:val="00DB2E06"/>
    <w:rsid w:val="00DC07F9"/>
    <w:rsid w:val="00DC0FA0"/>
    <w:rsid w:val="00DD1F68"/>
    <w:rsid w:val="00DE3CD5"/>
    <w:rsid w:val="00DF0089"/>
    <w:rsid w:val="00DF2B9F"/>
    <w:rsid w:val="00DF2C79"/>
    <w:rsid w:val="00DF2D9B"/>
    <w:rsid w:val="00DF3FDA"/>
    <w:rsid w:val="00E00C27"/>
    <w:rsid w:val="00E03F0B"/>
    <w:rsid w:val="00E10290"/>
    <w:rsid w:val="00E13CD5"/>
    <w:rsid w:val="00E15C75"/>
    <w:rsid w:val="00E4370D"/>
    <w:rsid w:val="00E438CA"/>
    <w:rsid w:val="00E53168"/>
    <w:rsid w:val="00E57598"/>
    <w:rsid w:val="00E57F38"/>
    <w:rsid w:val="00E6033F"/>
    <w:rsid w:val="00E6353D"/>
    <w:rsid w:val="00E64DB9"/>
    <w:rsid w:val="00E64F3F"/>
    <w:rsid w:val="00E81D12"/>
    <w:rsid w:val="00E82959"/>
    <w:rsid w:val="00E87A75"/>
    <w:rsid w:val="00E90161"/>
    <w:rsid w:val="00E93C3D"/>
    <w:rsid w:val="00E9551A"/>
    <w:rsid w:val="00E97F64"/>
    <w:rsid w:val="00ED3414"/>
    <w:rsid w:val="00EE0C38"/>
    <w:rsid w:val="00EE1ADE"/>
    <w:rsid w:val="00EF030D"/>
    <w:rsid w:val="00EF68DE"/>
    <w:rsid w:val="00F00315"/>
    <w:rsid w:val="00F06261"/>
    <w:rsid w:val="00F06937"/>
    <w:rsid w:val="00F206C4"/>
    <w:rsid w:val="00F226AC"/>
    <w:rsid w:val="00F22FAB"/>
    <w:rsid w:val="00F23483"/>
    <w:rsid w:val="00F351A4"/>
    <w:rsid w:val="00F3711C"/>
    <w:rsid w:val="00F43718"/>
    <w:rsid w:val="00F47794"/>
    <w:rsid w:val="00F53A38"/>
    <w:rsid w:val="00F55A05"/>
    <w:rsid w:val="00F57733"/>
    <w:rsid w:val="00F61597"/>
    <w:rsid w:val="00F61BA1"/>
    <w:rsid w:val="00F747EF"/>
    <w:rsid w:val="00F8184E"/>
    <w:rsid w:val="00F82D4D"/>
    <w:rsid w:val="00F82F37"/>
    <w:rsid w:val="00F928D8"/>
    <w:rsid w:val="00FA025C"/>
    <w:rsid w:val="00FC3748"/>
    <w:rsid w:val="00FC709A"/>
    <w:rsid w:val="00FD3CE5"/>
    <w:rsid w:val="00FD73DA"/>
    <w:rsid w:val="0124146F"/>
    <w:rsid w:val="01637651"/>
    <w:rsid w:val="018067FB"/>
    <w:rsid w:val="01C04E49"/>
    <w:rsid w:val="01F01BD2"/>
    <w:rsid w:val="01F36FCC"/>
    <w:rsid w:val="021951FF"/>
    <w:rsid w:val="02217FDE"/>
    <w:rsid w:val="024912E2"/>
    <w:rsid w:val="028C553E"/>
    <w:rsid w:val="028F50ED"/>
    <w:rsid w:val="029C7664"/>
    <w:rsid w:val="02A263FA"/>
    <w:rsid w:val="02BB6170"/>
    <w:rsid w:val="03265180"/>
    <w:rsid w:val="032E74F6"/>
    <w:rsid w:val="03323B24"/>
    <w:rsid w:val="034026E5"/>
    <w:rsid w:val="035C6DF3"/>
    <w:rsid w:val="03957F6E"/>
    <w:rsid w:val="03AF659A"/>
    <w:rsid w:val="03B409DD"/>
    <w:rsid w:val="03B64756"/>
    <w:rsid w:val="03EF7C67"/>
    <w:rsid w:val="042C4A18"/>
    <w:rsid w:val="043A35D9"/>
    <w:rsid w:val="04510922"/>
    <w:rsid w:val="048C3708"/>
    <w:rsid w:val="049D76C3"/>
    <w:rsid w:val="04B0389B"/>
    <w:rsid w:val="05086885"/>
    <w:rsid w:val="05143E2A"/>
    <w:rsid w:val="056947F6"/>
    <w:rsid w:val="056B77C2"/>
    <w:rsid w:val="05746676"/>
    <w:rsid w:val="0580326D"/>
    <w:rsid w:val="05A351AD"/>
    <w:rsid w:val="05AA2098"/>
    <w:rsid w:val="05D474D9"/>
    <w:rsid w:val="05D851BE"/>
    <w:rsid w:val="05E337FC"/>
    <w:rsid w:val="060C68AF"/>
    <w:rsid w:val="061B11E8"/>
    <w:rsid w:val="063B7194"/>
    <w:rsid w:val="063C38E2"/>
    <w:rsid w:val="06562220"/>
    <w:rsid w:val="06605E31"/>
    <w:rsid w:val="066308E2"/>
    <w:rsid w:val="06B70F10"/>
    <w:rsid w:val="073C1416"/>
    <w:rsid w:val="076444C8"/>
    <w:rsid w:val="07B13BB2"/>
    <w:rsid w:val="07E1607D"/>
    <w:rsid w:val="080D4B60"/>
    <w:rsid w:val="08412673"/>
    <w:rsid w:val="084D0C0B"/>
    <w:rsid w:val="089A2898"/>
    <w:rsid w:val="09095327"/>
    <w:rsid w:val="095759B0"/>
    <w:rsid w:val="095E1B17"/>
    <w:rsid w:val="09E431C6"/>
    <w:rsid w:val="09E44B17"/>
    <w:rsid w:val="09F1081D"/>
    <w:rsid w:val="09FB165C"/>
    <w:rsid w:val="0A2A19F9"/>
    <w:rsid w:val="0A370A52"/>
    <w:rsid w:val="0A3E7253"/>
    <w:rsid w:val="0A5C25D7"/>
    <w:rsid w:val="0A690774"/>
    <w:rsid w:val="0A7140AF"/>
    <w:rsid w:val="0A9A6B7F"/>
    <w:rsid w:val="0AB13EC9"/>
    <w:rsid w:val="0AC51722"/>
    <w:rsid w:val="0AFA761E"/>
    <w:rsid w:val="0B732F2C"/>
    <w:rsid w:val="0B7D54E6"/>
    <w:rsid w:val="0B81389B"/>
    <w:rsid w:val="0BF00A21"/>
    <w:rsid w:val="0C141611"/>
    <w:rsid w:val="0C206374"/>
    <w:rsid w:val="0C2F32F7"/>
    <w:rsid w:val="0C4F5747"/>
    <w:rsid w:val="0C717E64"/>
    <w:rsid w:val="0C737A6F"/>
    <w:rsid w:val="0C931AD8"/>
    <w:rsid w:val="0CC41080"/>
    <w:rsid w:val="0CCD6648"/>
    <w:rsid w:val="0D103128"/>
    <w:rsid w:val="0D1F193E"/>
    <w:rsid w:val="0D6E60A1"/>
    <w:rsid w:val="0D810056"/>
    <w:rsid w:val="0D8D29CB"/>
    <w:rsid w:val="0DBF479B"/>
    <w:rsid w:val="0DD57ECE"/>
    <w:rsid w:val="0E3F073D"/>
    <w:rsid w:val="0E590AFF"/>
    <w:rsid w:val="0E5C5A3F"/>
    <w:rsid w:val="0EA520D7"/>
    <w:rsid w:val="0EB16245"/>
    <w:rsid w:val="0EBB5316"/>
    <w:rsid w:val="0EEC3721"/>
    <w:rsid w:val="0EF645A0"/>
    <w:rsid w:val="0F083839"/>
    <w:rsid w:val="0F225395"/>
    <w:rsid w:val="0F4F5A5E"/>
    <w:rsid w:val="0F530435"/>
    <w:rsid w:val="0F56503F"/>
    <w:rsid w:val="0F6B0AEA"/>
    <w:rsid w:val="0F81030D"/>
    <w:rsid w:val="0FA3083B"/>
    <w:rsid w:val="0FA71EC2"/>
    <w:rsid w:val="0FBA0991"/>
    <w:rsid w:val="1053332C"/>
    <w:rsid w:val="10A129AA"/>
    <w:rsid w:val="10A235DA"/>
    <w:rsid w:val="10D733DC"/>
    <w:rsid w:val="10D91A83"/>
    <w:rsid w:val="10FC434A"/>
    <w:rsid w:val="111B6540"/>
    <w:rsid w:val="113C70ED"/>
    <w:rsid w:val="114333A1"/>
    <w:rsid w:val="115D048A"/>
    <w:rsid w:val="11763776"/>
    <w:rsid w:val="11A7392F"/>
    <w:rsid w:val="11CE710E"/>
    <w:rsid w:val="12266F4A"/>
    <w:rsid w:val="12AA1929"/>
    <w:rsid w:val="12D54F0A"/>
    <w:rsid w:val="12E666D9"/>
    <w:rsid w:val="13051255"/>
    <w:rsid w:val="13482EF0"/>
    <w:rsid w:val="13816D08"/>
    <w:rsid w:val="138F0B1F"/>
    <w:rsid w:val="13A7230D"/>
    <w:rsid w:val="13BB7B66"/>
    <w:rsid w:val="141E5A8F"/>
    <w:rsid w:val="141F1EA3"/>
    <w:rsid w:val="143F42F3"/>
    <w:rsid w:val="145B2071"/>
    <w:rsid w:val="14AE3227"/>
    <w:rsid w:val="14CB5B87"/>
    <w:rsid w:val="150579E6"/>
    <w:rsid w:val="15113EE2"/>
    <w:rsid w:val="1512674A"/>
    <w:rsid w:val="15267261"/>
    <w:rsid w:val="15290B04"/>
    <w:rsid w:val="153D26B4"/>
    <w:rsid w:val="15C50828"/>
    <w:rsid w:val="15E6711C"/>
    <w:rsid w:val="15EF5D0A"/>
    <w:rsid w:val="15F20E8D"/>
    <w:rsid w:val="163422DE"/>
    <w:rsid w:val="163C4F8E"/>
    <w:rsid w:val="16427D13"/>
    <w:rsid w:val="165431D1"/>
    <w:rsid w:val="16585B40"/>
    <w:rsid w:val="167E6DA1"/>
    <w:rsid w:val="172C5BE5"/>
    <w:rsid w:val="174F484D"/>
    <w:rsid w:val="17D8574F"/>
    <w:rsid w:val="17EA27C8"/>
    <w:rsid w:val="180513B0"/>
    <w:rsid w:val="18095344"/>
    <w:rsid w:val="180A3263"/>
    <w:rsid w:val="18102055"/>
    <w:rsid w:val="18194E5B"/>
    <w:rsid w:val="182E03B6"/>
    <w:rsid w:val="18624A54"/>
    <w:rsid w:val="18626802"/>
    <w:rsid w:val="18826EA4"/>
    <w:rsid w:val="18C9062F"/>
    <w:rsid w:val="18D020B6"/>
    <w:rsid w:val="18F558C8"/>
    <w:rsid w:val="198D78AF"/>
    <w:rsid w:val="19CE23A1"/>
    <w:rsid w:val="1A366198"/>
    <w:rsid w:val="1A404921"/>
    <w:rsid w:val="1A757637"/>
    <w:rsid w:val="1A7A3493"/>
    <w:rsid w:val="1A8E71C8"/>
    <w:rsid w:val="1B3F107D"/>
    <w:rsid w:val="1B9871F1"/>
    <w:rsid w:val="1BB90E2F"/>
    <w:rsid w:val="1BC3580A"/>
    <w:rsid w:val="1BC752FA"/>
    <w:rsid w:val="1BDF0C7E"/>
    <w:rsid w:val="1C1D46ED"/>
    <w:rsid w:val="1C8E406A"/>
    <w:rsid w:val="1CA4563B"/>
    <w:rsid w:val="1D4B3D09"/>
    <w:rsid w:val="1DD65800"/>
    <w:rsid w:val="1DE71C83"/>
    <w:rsid w:val="1E0D5462"/>
    <w:rsid w:val="1E2F53D8"/>
    <w:rsid w:val="1ED71D4E"/>
    <w:rsid w:val="1EFF4DAB"/>
    <w:rsid w:val="1F38650F"/>
    <w:rsid w:val="1F95570F"/>
    <w:rsid w:val="1F961B43"/>
    <w:rsid w:val="1F9A3571"/>
    <w:rsid w:val="1FB52D90"/>
    <w:rsid w:val="20576503"/>
    <w:rsid w:val="20914128"/>
    <w:rsid w:val="20C17107"/>
    <w:rsid w:val="20CE0ED9"/>
    <w:rsid w:val="211A5ECC"/>
    <w:rsid w:val="213D605E"/>
    <w:rsid w:val="213F3B84"/>
    <w:rsid w:val="21627873"/>
    <w:rsid w:val="21E8421C"/>
    <w:rsid w:val="21EA6F2F"/>
    <w:rsid w:val="21F229A5"/>
    <w:rsid w:val="220646A2"/>
    <w:rsid w:val="225278E7"/>
    <w:rsid w:val="22827C4F"/>
    <w:rsid w:val="22CC769A"/>
    <w:rsid w:val="22D16A5E"/>
    <w:rsid w:val="22F45F58"/>
    <w:rsid w:val="22F62969"/>
    <w:rsid w:val="22F8166B"/>
    <w:rsid w:val="2329689A"/>
    <w:rsid w:val="23305E7B"/>
    <w:rsid w:val="233414D0"/>
    <w:rsid w:val="23356D15"/>
    <w:rsid w:val="23474F72"/>
    <w:rsid w:val="23B353FF"/>
    <w:rsid w:val="244B0A92"/>
    <w:rsid w:val="24831FDA"/>
    <w:rsid w:val="248D4C07"/>
    <w:rsid w:val="24AD440B"/>
    <w:rsid w:val="24D10F97"/>
    <w:rsid w:val="24FD7FDE"/>
    <w:rsid w:val="2525258D"/>
    <w:rsid w:val="252C2672"/>
    <w:rsid w:val="25B36BB7"/>
    <w:rsid w:val="25DD71A2"/>
    <w:rsid w:val="25E61DB2"/>
    <w:rsid w:val="263E440B"/>
    <w:rsid w:val="26812549"/>
    <w:rsid w:val="26864004"/>
    <w:rsid w:val="269C7383"/>
    <w:rsid w:val="26D7485F"/>
    <w:rsid w:val="26E540B8"/>
    <w:rsid w:val="27146728"/>
    <w:rsid w:val="273677D8"/>
    <w:rsid w:val="279544FE"/>
    <w:rsid w:val="27BE5CF3"/>
    <w:rsid w:val="27F154AD"/>
    <w:rsid w:val="28483F7F"/>
    <w:rsid w:val="28506677"/>
    <w:rsid w:val="28795BCE"/>
    <w:rsid w:val="28C17575"/>
    <w:rsid w:val="28C52BC1"/>
    <w:rsid w:val="28E55011"/>
    <w:rsid w:val="28ED3EC6"/>
    <w:rsid w:val="291B6C85"/>
    <w:rsid w:val="29D15596"/>
    <w:rsid w:val="29DF5E0E"/>
    <w:rsid w:val="29F67C4B"/>
    <w:rsid w:val="29FB0865"/>
    <w:rsid w:val="2A14397E"/>
    <w:rsid w:val="2A2B739C"/>
    <w:rsid w:val="2A500BB0"/>
    <w:rsid w:val="2A6B59EA"/>
    <w:rsid w:val="2A7A0AC9"/>
    <w:rsid w:val="2A946CEF"/>
    <w:rsid w:val="2AAA10B6"/>
    <w:rsid w:val="2ADC2444"/>
    <w:rsid w:val="2AE2376A"/>
    <w:rsid w:val="2B2D2510"/>
    <w:rsid w:val="2B4678D2"/>
    <w:rsid w:val="2B512E32"/>
    <w:rsid w:val="2B841C6F"/>
    <w:rsid w:val="2BD575BF"/>
    <w:rsid w:val="2BE912BD"/>
    <w:rsid w:val="2BF51A0F"/>
    <w:rsid w:val="2C280BFF"/>
    <w:rsid w:val="2C631FDA"/>
    <w:rsid w:val="2CCA1365"/>
    <w:rsid w:val="2CD12F1A"/>
    <w:rsid w:val="2CE51A84"/>
    <w:rsid w:val="2D297497"/>
    <w:rsid w:val="2D340315"/>
    <w:rsid w:val="2D6C3F53"/>
    <w:rsid w:val="2DBD030B"/>
    <w:rsid w:val="2DD77F42"/>
    <w:rsid w:val="2E3C43E6"/>
    <w:rsid w:val="2E597184"/>
    <w:rsid w:val="2E6952B5"/>
    <w:rsid w:val="2EA27501"/>
    <w:rsid w:val="2EA74B17"/>
    <w:rsid w:val="2EE63891"/>
    <w:rsid w:val="2EFF57A9"/>
    <w:rsid w:val="2F0361F1"/>
    <w:rsid w:val="2F326AD7"/>
    <w:rsid w:val="2F8F1814"/>
    <w:rsid w:val="2F902529"/>
    <w:rsid w:val="2FB96815"/>
    <w:rsid w:val="2FD22068"/>
    <w:rsid w:val="2FDB716E"/>
    <w:rsid w:val="300541EB"/>
    <w:rsid w:val="3025020F"/>
    <w:rsid w:val="30445CC8"/>
    <w:rsid w:val="30980E40"/>
    <w:rsid w:val="30B654E5"/>
    <w:rsid w:val="30BC0D4E"/>
    <w:rsid w:val="30CE6CD3"/>
    <w:rsid w:val="30D12204"/>
    <w:rsid w:val="30EE4C7F"/>
    <w:rsid w:val="31036CFF"/>
    <w:rsid w:val="312A1867"/>
    <w:rsid w:val="31554CFE"/>
    <w:rsid w:val="31E57E30"/>
    <w:rsid w:val="32003B98"/>
    <w:rsid w:val="32066DBF"/>
    <w:rsid w:val="32146967"/>
    <w:rsid w:val="329B2BE5"/>
    <w:rsid w:val="329F4483"/>
    <w:rsid w:val="32AD7F69"/>
    <w:rsid w:val="32BC75FE"/>
    <w:rsid w:val="32C060C1"/>
    <w:rsid w:val="32CC1FF5"/>
    <w:rsid w:val="32D3237F"/>
    <w:rsid w:val="331D133A"/>
    <w:rsid w:val="33244988"/>
    <w:rsid w:val="33435756"/>
    <w:rsid w:val="33893CFD"/>
    <w:rsid w:val="33B625E3"/>
    <w:rsid w:val="33C02FBB"/>
    <w:rsid w:val="33E32A95"/>
    <w:rsid w:val="342C61EA"/>
    <w:rsid w:val="34EE34A0"/>
    <w:rsid w:val="35123632"/>
    <w:rsid w:val="351A4295"/>
    <w:rsid w:val="352073D1"/>
    <w:rsid w:val="35386D80"/>
    <w:rsid w:val="354E03E2"/>
    <w:rsid w:val="355F0F07"/>
    <w:rsid w:val="35797756"/>
    <w:rsid w:val="359720FA"/>
    <w:rsid w:val="35FA7C22"/>
    <w:rsid w:val="36201D7F"/>
    <w:rsid w:val="362D1DA6"/>
    <w:rsid w:val="363B2715"/>
    <w:rsid w:val="3679323D"/>
    <w:rsid w:val="36E7464B"/>
    <w:rsid w:val="370F0B29"/>
    <w:rsid w:val="37403D5B"/>
    <w:rsid w:val="377F4883"/>
    <w:rsid w:val="37824373"/>
    <w:rsid w:val="37DB0CC0"/>
    <w:rsid w:val="380B25BB"/>
    <w:rsid w:val="38481119"/>
    <w:rsid w:val="38A836EF"/>
    <w:rsid w:val="38B168AD"/>
    <w:rsid w:val="38DE5DCA"/>
    <w:rsid w:val="39205BF2"/>
    <w:rsid w:val="394271A5"/>
    <w:rsid w:val="394E275F"/>
    <w:rsid w:val="394E6C03"/>
    <w:rsid w:val="396C0E37"/>
    <w:rsid w:val="39905FD2"/>
    <w:rsid w:val="39A97C6E"/>
    <w:rsid w:val="39BA7DF4"/>
    <w:rsid w:val="39E91A66"/>
    <w:rsid w:val="3A281202"/>
    <w:rsid w:val="3A324A06"/>
    <w:rsid w:val="3A3A5696"/>
    <w:rsid w:val="3A573895"/>
    <w:rsid w:val="3A6302A8"/>
    <w:rsid w:val="3A751F6D"/>
    <w:rsid w:val="3A8D1EDA"/>
    <w:rsid w:val="3AB62A61"/>
    <w:rsid w:val="3AB72586"/>
    <w:rsid w:val="3AFD268F"/>
    <w:rsid w:val="3B3C571D"/>
    <w:rsid w:val="3B3E6803"/>
    <w:rsid w:val="3B4A51A8"/>
    <w:rsid w:val="3B6049CB"/>
    <w:rsid w:val="3B7D37CF"/>
    <w:rsid w:val="3B934DA1"/>
    <w:rsid w:val="3B9F3746"/>
    <w:rsid w:val="3BAE7642"/>
    <w:rsid w:val="3BF07AFD"/>
    <w:rsid w:val="3C793F97"/>
    <w:rsid w:val="3CB43221"/>
    <w:rsid w:val="3CF9425A"/>
    <w:rsid w:val="3D0F48FB"/>
    <w:rsid w:val="3D332398"/>
    <w:rsid w:val="3D453E79"/>
    <w:rsid w:val="3D5D11C3"/>
    <w:rsid w:val="3D78424E"/>
    <w:rsid w:val="3D9170BE"/>
    <w:rsid w:val="3E235F81"/>
    <w:rsid w:val="3E570308"/>
    <w:rsid w:val="3E6842C3"/>
    <w:rsid w:val="3E8F7AA2"/>
    <w:rsid w:val="3EB017C6"/>
    <w:rsid w:val="3F181D11"/>
    <w:rsid w:val="3F2521B4"/>
    <w:rsid w:val="3F5465F5"/>
    <w:rsid w:val="3F6C179B"/>
    <w:rsid w:val="3F8C5D8F"/>
    <w:rsid w:val="3F993564"/>
    <w:rsid w:val="3FA858D7"/>
    <w:rsid w:val="3FF15DB8"/>
    <w:rsid w:val="3FF57DD8"/>
    <w:rsid w:val="403E177F"/>
    <w:rsid w:val="403F1053"/>
    <w:rsid w:val="40640ABA"/>
    <w:rsid w:val="40B03CFF"/>
    <w:rsid w:val="40B90E06"/>
    <w:rsid w:val="40CE4185"/>
    <w:rsid w:val="40D1698E"/>
    <w:rsid w:val="40D97296"/>
    <w:rsid w:val="40FE4214"/>
    <w:rsid w:val="41173FC1"/>
    <w:rsid w:val="41345B54"/>
    <w:rsid w:val="41825E8B"/>
    <w:rsid w:val="41DA54D8"/>
    <w:rsid w:val="421F738E"/>
    <w:rsid w:val="42426BD9"/>
    <w:rsid w:val="42543F57"/>
    <w:rsid w:val="4258464E"/>
    <w:rsid w:val="429D1000"/>
    <w:rsid w:val="42E12896"/>
    <w:rsid w:val="42F27D13"/>
    <w:rsid w:val="43937573"/>
    <w:rsid w:val="43EC66CC"/>
    <w:rsid w:val="43FF251E"/>
    <w:rsid w:val="44132112"/>
    <w:rsid w:val="442C3A18"/>
    <w:rsid w:val="44564BBE"/>
    <w:rsid w:val="44621F2D"/>
    <w:rsid w:val="447334B4"/>
    <w:rsid w:val="4473751E"/>
    <w:rsid w:val="447514E8"/>
    <w:rsid w:val="447962BE"/>
    <w:rsid w:val="447F5EC2"/>
    <w:rsid w:val="44A924D3"/>
    <w:rsid w:val="44EC107E"/>
    <w:rsid w:val="44F06DC0"/>
    <w:rsid w:val="454509A3"/>
    <w:rsid w:val="45575091"/>
    <w:rsid w:val="457E43CC"/>
    <w:rsid w:val="459D495C"/>
    <w:rsid w:val="45A04342"/>
    <w:rsid w:val="45B44292"/>
    <w:rsid w:val="45D12EC4"/>
    <w:rsid w:val="46805F22"/>
    <w:rsid w:val="468425B0"/>
    <w:rsid w:val="46911EDD"/>
    <w:rsid w:val="469B0FAE"/>
    <w:rsid w:val="47322F4A"/>
    <w:rsid w:val="47705F96"/>
    <w:rsid w:val="47995EB4"/>
    <w:rsid w:val="47D61361"/>
    <w:rsid w:val="47DE73A4"/>
    <w:rsid w:val="47E36768"/>
    <w:rsid w:val="47FD3CCE"/>
    <w:rsid w:val="480311BF"/>
    <w:rsid w:val="486755EB"/>
    <w:rsid w:val="487B2E45"/>
    <w:rsid w:val="489B06A4"/>
    <w:rsid w:val="493C25D4"/>
    <w:rsid w:val="494F67AB"/>
    <w:rsid w:val="4961203A"/>
    <w:rsid w:val="4A08695A"/>
    <w:rsid w:val="4A1452FF"/>
    <w:rsid w:val="4A2C5357"/>
    <w:rsid w:val="4A3C6604"/>
    <w:rsid w:val="4A3E05CE"/>
    <w:rsid w:val="4AC9433B"/>
    <w:rsid w:val="4AD22D09"/>
    <w:rsid w:val="4ADD1EF0"/>
    <w:rsid w:val="4B3959BD"/>
    <w:rsid w:val="4B4277BB"/>
    <w:rsid w:val="4BE3142D"/>
    <w:rsid w:val="4BFC604B"/>
    <w:rsid w:val="4C066EC9"/>
    <w:rsid w:val="4C5D11DF"/>
    <w:rsid w:val="4C840CF7"/>
    <w:rsid w:val="4CCC3C6F"/>
    <w:rsid w:val="4CED7344"/>
    <w:rsid w:val="4D0A0E72"/>
    <w:rsid w:val="4D102153"/>
    <w:rsid w:val="4D174FFF"/>
    <w:rsid w:val="4D241CFD"/>
    <w:rsid w:val="4D331F40"/>
    <w:rsid w:val="4D4941DA"/>
    <w:rsid w:val="4DE75469"/>
    <w:rsid w:val="4E0F02B7"/>
    <w:rsid w:val="4E121B55"/>
    <w:rsid w:val="4E231FB4"/>
    <w:rsid w:val="4E3715BC"/>
    <w:rsid w:val="4E476790"/>
    <w:rsid w:val="4E52289A"/>
    <w:rsid w:val="4E922C96"/>
    <w:rsid w:val="4EC820CD"/>
    <w:rsid w:val="4ECA2430"/>
    <w:rsid w:val="4EF63225"/>
    <w:rsid w:val="4F075432"/>
    <w:rsid w:val="4F4C553B"/>
    <w:rsid w:val="4F6B59C1"/>
    <w:rsid w:val="4F7505EE"/>
    <w:rsid w:val="4F7D6EB8"/>
    <w:rsid w:val="4F840831"/>
    <w:rsid w:val="4F925019"/>
    <w:rsid w:val="4FA17635"/>
    <w:rsid w:val="4FAE58AE"/>
    <w:rsid w:val="4FD80B7D"/>
    <w:rsid w:val="50006D6B"/>
    <w:rsid w:val="500951DA"/>
    <w:rsid w:val="5015157B"/>
    <w:rsid w:val="502F5784"/>
    <w:rsid w:val="5039786D"/>
    <w:rsid w:val="50792360"/>
    <w:rsid w:val="509C1BAA"/>
    <w:rsid w:val="50A67A8E"/>
    <w:rsid w:val="50FD065A"/>
    <w:rsid w:val="51175630"/>
    <w:rsid w:val="51404C2B"/>
    <w:rsid w:val="51711289"/>
    <w:rsid w:val="517D19DC"/>
    <w:rsid w:val="51946325"/>
    <w:rsid w:val="519F7BA4"/>
    <w:rsid w:val="51CE2237"/>
    <w:rsid w:val="528B0128"/>
    <w:rsid w:val="529D52A3"/>
    <w:rsid w:val="52E738EE"/>
    <w:rsid w:val="52FE5D33"/>
    <w:rsid w:val="54085ED4"/>
    <w:rsid w:val="54271121"/>
    <w:rsid w:val="54310A1B"/>
    <w:rsid w:val="545C1D7C"/>
    <w:rsid w:val="546736FB"/>
    <w:rsid w:val="54684287"/>
    <w:rsid w:val="54697B75"/>
    <w:rsid w:val="548E3F00"/>
    <w:rsid w:val="548F415D"/>
    <w:rsid w:val="552503C0"/>
    <w:rsid w:val="554C3B9F"/>
    <w:rsid w:val="554C6B67"/>
    <w:rsid w:val="555E7D76"/>
    <w:rsid w:val="557B0B0F"/>
    <w:rsid w:val="55C776C9"/>
    <w:rsid w:val="5632722D"/>
    <w:rsid w:val="56861332"/>
    <w:rsid w:val="569E48CE"/>
    <w:rsid w:val="56B06859"/>
    <w:rsid w:val="56CB4F97"/>
    <w:rsid w:val="571903F8"/>
    <w:rsid w:val="57323F7A"/>
    <w:rsid w:val="57340D8E"/>
    <w:rsid w:val="57835F91"/>
    <w:rsid w:val="57AA72A2"/>
    <w:rsid w:val="57AE3855"/>
    <w:rsid w:val="57EC1CDC"/>
    <w:rsid w:val="584B2834"/>
    <w:rsid w:val="58704048"/>
    <w:rsid w:val="588747BB"/>
    <w:rsid w:val="589917F1"/>
    <w:rsid w:val="58B73A25"/>
    <w:rsid w:val="58CF3AB2"/>
    <w:rsid w:val="59376914"/>
    <w:rsid w:val="5A0709DC"/>
    <w:rsid w:val="5A2730E9"/>
    <w:rsid w:val="5A3B26B8"/>
    <w:rsid w:val="5A56101C"/>
    <w:rsid w:val="5A70032F"/>
    <w:rsid w:val="5A7979FA"/>
    <w:rsid w:val="5A7A2873"/>
    <w:rsid w:val="5AC303D8"/>
    <w:rsid w:val="5ADD2A16"/>
    <w:rsid w:val="5B307ABF"/>
    <w:rsid w:val="5B3C6463"/>
    <w:rsid w:val="5B772776"/>
    <w:rsid w:val="5BC16A98"/>
    <w:rsid w:val="5C207B33"/>
    <w:rsid w:val="5C370DDB"/>
    <w:rsid w:val="5C45759A"/>
    <w:rsid w:val="5CBC5AAE"/>
    <w:rsid w:val="5CE770B7"/>
    <w:rsid w:val="5CEB160C"/>
    <w:rsid w:val="5CEE378D"/>
    <w:rsid w:val="5D105DFA"/>
    <w:rsid w:val="5D504448"/>
    <w:rsid w:val="5DDC7A8A"/>
    <w:rsid w:val="5E0D2339"/>
    <w:rsid w:val="5E557BE6"/>
    <w:rsid w:val="5E7F3237"/>
    <w:rsid w:val="5E99597B"/>
    <w:rsid w:val="5EB01642"/>
    <w:rsid w:val="5EB21369"/>
    <w:rsid w:val="5EC46D1E"/>
    <w:rsid w:val="5EF332DD"/>
    <w:rsid w:val="5F047586"/>
    <w:rsid w:val="5F8638CF"/>
    <w:rsid w:val="5FC03B07"/>
    <w:rsid w:val="5FC058B5"/>
    <w:rsid w:val="5FF11F12"/>
    <w:rsid w:val="6005151A"/>
    <w:rsid w:val="601B093B"/>
    <w:rsid w:val="6023711B"/>
    <w:rsid w:val="607E588E"/>
    <w:rsid w:val="60B3541A"/>
    <w:rsid w:val="60CA4511"/>
    <w:rsid w:val="61357BDD"/>
    <w:rsid w:val="61581B1D"/>
    <w:rsid w:val="617D1584"/>
    <w:rsid w:val="61B50D1E"/>
    <w:rsid w:val="61ED04B8"/>
    <w:rsid w:val="61FC07CA"/>
    <w:rsid w:val="62832BCA"/>
    <w:rsid w:val="628C79C6"/>
    <w:rsid w:val="62AD7C47"/>
    <w:rsid w:val="62C27B96"/>
    <w:rsid w:val="62FB3EDB"/>
    <w:rsid w:val="63155F18"/>
    <w:rsid w:val="631C02F7"/>
    <w:rsid w:val="632C0AF2"/>
    <w:rsid w:val="63595888"/>
    <w:rsid w:val="639B03B4"/>
    <w:rsid w:val="639E1A64"/>
    <w:rsid w:val="63E75F83"/>
    <w:rsid w:val="640231C6"/>
    <w:rsid w:val="64710555"/>
    <w:rsid w:val="647E5D3F"/>
    <w:rsid w:val="64970BAF"/>
    <w:rsid w:val="64A32F1D"/>
    <w:rsid w:val="650B59E7"/>
    <w:rsid w:val="654D758F"/>
    <w:rsid w:val="654F0FE3"/>
    <w:rsid w:val="65C7407A"/>
    <w:rsid w:val="65F22540"/>
    <w:rsid w:val="6615622F"/>
    <w:rsid w:val="6623094C"/>
    <w:rsid w:val="662856A8"/>
    <w:rsid w:val="667C62AE"/>
    <w:rsid w:val="66825DC4"/>
    <w:rsid w:val="66945E4D"/>
    <w:rsid w:val="66FB71D3"/>
    <w:rsid w:val="67057615"/>
    <w:rsid w:val="67220BBC"/>
    <w:rsid w:val="67351044"/>
    <w:rsid w:val="67EC65C4"/>
    <w:rsid w:val="681165F6"/>
    <w:rsid w:val="6813679E"/>
    <w:rsid w:val="681A3FD0"/>
    <w:rsid w:val="68270057"/>
    <w:rsid w:val="687C07E7"/>
    <w:rsid w:val="6897117D"/>
    <w:rsid w:val="68AB2E7A"/>
    <w:rsid w:val="68C161FA"/>
    <w:rsid w:val="68CF6880"/>
    <w:rsid w:val="69392234"/>
    <w:rsid w:val="698536CB"/>
    <w:rsid w:val="69A04B88"/>
    <w:rsid w:val="69B473BE"/>
    <w:rsid w:val="69CC12FA"/>
    <w:rsid w:val="69E05D24"/>
    <w:rsid w:val="6A4E2574"/>
    <w:rsid w:val="6A590DE0"/>
    <w:rsid w:val="6A793230"/>
    <w:rsid w:val="6A8676FB"/>
    <w:rsid w:val="6A8F3775"/>
    <w:rsid w:val="6AEA5EDC"/>
    <w:rsid w:val="6B935503"/>
    <w:rsid w:val="6B981494"/>
    <w:rsid w:val="6BA0723F"/>
    <w:rsid w:val="6BA51E03"/>
    <w:rsid w:val="6BDF5315"/>
    <w:rsid w:val="6C0E04E4"/>
    <w:rsid w:val="6C0E2555"/>
    <w:rsid w:val="6C1D408F"/>
    <w:rsid w:val="6C6C6CBB"/>
    <w:rsid w:val="6C702411"/>
    <w:rsid w:val="6CAD0F6F"/>
    <w:rsid w:val="6CC4450B"/>
    <w:rsid w:val="6CEA21C3"/>
    <w:rsid w:val="6D062D75"/>
    <w:rsid w:val="6D08089B"/>
    <w:rsid w:val="6D454B1B"/>
    <w:rsid w:val="6D5E6A01"/>
    <w:rsid w:val="6D6261FE"/>
    <w:rsid w:val="6D65184A"/>
    <w:rsid w:val="6D741A8D"/>
    <w:rsid w:val="6D8E5691"/>
    <w:rsid w:val="6D9D7236"/>
    <w:rsid w:val="6DB4457F"/>
    <w:rsid w:val="6DC20A4A"/>
    <w:rsid w:val="6DCC3677"/>
    <w:rsid w:val="6DDB1B0C"/>
    <w:rsid w:val="6DDD14CC"/>
    <w:rsid w:val="6E5A6ED5"/>
    <w:rsid w:val="6E8126B3"/>
    <w:rsid w:val="6ED21161"/>
    <w:rsid w:val="6F3C65DA"/>
    <w:rsid w:val="6F4852DD"/>
    <w:rsid w:val="6F4A53D3"/>
    <w:rsid w:val="6F5F71E3"/>
    <w:rsid w:val="6F926B42"/>
    <w:rsid w:val="6FD131C7"/>
    <w:rsid w:val="6FE236F1"/>
    <w:rsid w:val="6FE54EC4"/>
    <w:rsid w:val="6FFB0243"/>
    <w:rsid w:val="7007308C"/>
    <w:rsid w:val="70945DA2"/>
    <w:rsid w:val="70DC1E23"/>
    <w:rsid w:val="70EC5DDE"/>
    <w:rsid w:val="71252A36"/>
    <w:rsid w:val="71493EB7"/>
    <w:rsid w:val="71B47011"/>
    <w:rsid w:val="71C11019"/>
    <w:rsid w:val="71E37168"/>
    <w:rsid w:val="72071122"/>
    <w:rsid w:val="7231619E"/>
    <w:rsid w:val="724A7260"/>
    <w:rsid w:val="72721ECF"/>
    <w:rsid w:val="728E539F"/>
    <w:rsid w:val="72B3292F"/>
    <w:rsid w:val="72DD1E82"/>
    <w:rsid w:val="7346211D"/>
    <w:rsid w:val="73532145"/>
    <w:rsid w:val="735C5B5C"/>
    <w:rsid w:val="738F7621"/>
    <w:rsid w:val="73FC49CF"/>
    <w:rsid w:val="7420471D"/>
    <w:rsid w:val="7431692A"/>
    <w:rsid w:val="745F6056"/>
    <w:rsid w:val="74681C20"/>
    <w:rsid w:val="74894804"/>
    <w:rsid w:val="748A0340"/>
    <w:rsid w:val="74A90A20"/>
    <w:rsid w:val="74B3733F"/>
    <w:rsid w:val="74B96350"/>
    <w:rsid w:val="74E27C24"/>
    <w:rsid w:val="74FC737A"/>
    <w:rsid w:val="750C4CA1"/>
    <w:rsid w:val="753A35BC"/>
    <w:rsid w:val="75693EA1"/>
    <w:rsid w:val="758B02BC"/>
    <w:rsid w:val="761B163F"/>
    <w:rsid w:val="76624C33"/>
    <w:rsid w:val="76FD08A2"/>
    <w:rsid w:val="770976EA"/>
    <w:rsid w:val="770E6AAE"/>
    <w:rsid w:val="77131F68"/>
    <w:rsid w:val="77200BBE"/>
    <w:rsid w:val="773D3837"/>
    <w:rsid w:val="777F175A"/>
    <w:rsid w:val="779A1692"/>
    <w:rsid w:val="77D00DFA"/>
    <w:rsid w:val="77DA4BE2"/>
    <w:rsid w:val="78197298"/>
    <w:rsid w:val="782B4550"/>
    <w:rsid w:val="782D565A"/>
    <w:rsid w:val="784A1D68"/>
    <w:rsid w:val="785C7CED"/>
    <w:rsid w:val="787D038F"/>
    <w:rsid w:val="789E0306"/>
    <w:rsid w:val="78AC2F39"/>
    <w:rsid w:val="78B11DE7"/>
    <w:rsid w:val="78CA10FB"/>
    <w:rsid w:val="78D00FC5"/>
    <w:rsid w:val="78D12489"/>
    <w:rsid w:val="790E0FE8"/>
    <w:rsid w:val="791800B8"/>
    <w:rsid w:val="798C63B0"/>
    <w:rsid w:val="79C93160"/>
    <w:rsid w:val="79D815F5"/>
    <w:rsid w:val="79EE0117"/>
    <w:rsid w:val="7A2B5BC9"/>
    <w:rsid w:val="7A7206F1"/>
    <w:rsid w:val="7B037D3B"/>
    <w:rsid w:val="7B1014F4"/>
    <w:rsid w:val="7BD55DED"/>
    <w:rsid w:val="7BE2764E"/>
    <w:rsid w:val="7BE91898"/>
    <w:rsid w:val="7CCD2F68"/>
    <w:rsid w:val="7CD61263"/>
    <w:rsid w:val="7D197F5B"/>
    <w:rsid w:val="7D5316BF"/>
    <w:rsid w:val="7D546D88"/>
    <w:rsid w:val="7D6E0FD8"/>
    <w:rsid w:val="7D782ED3"/>
    <w:rsid w:val="7D8E3BAE"/>
    <w:rsid w:val="7DA4016C"/>
    <w:rsid w:val="7DA939D5"/>
    <w:rsid w:val="7DB639FC"/>
    <w:rsid w:val="7DBA173E"/>
    <w:rsid w:val="7DD56578"/>
    <w:rsid w:val="7E097FCF"/>
    <w:rsid w:val="7E5C27F5"/>
    <w:rsid w:val="7E775881"/>
    <w:rsid w:val="7E7B7153"/>
    <w:rsid w:val="7EAF6DC9"/>
    <w:rsid w:val="7EC65EC0"/>
    <w:rsid w:val="7ECF2FC7"/>
    <w:rsid w:val="7EF90044"/>
    <w:rsid w:val="7F08472B"/>
    <w:rsid w:val="7F2D7CEE"/>
    <w:rsid w:val="7F3217A8"/>
    <w:rsid w:val="7F3A2F87"/>
    <w:rsid w:val="7F484B27"/>
    <w:rsid w:val="7F590AE3"/>
    <w:rsid w:val="7F927A86"/>
    <w:rsid w:val="7FD34D39"/>
    <w:rsid w:val="7FDA7E75"/>
    <w:rsid w:val="7FE122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semiHidden="0" w:name="heading 2"/>
    <w:lsdException w:qFormat="1" w:uiPriority="0" w:semiHidden="0" w:name="heading 3"/>
    <w:lsdException w:qFormat="1" w:uiPriority="9"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nhideWhenUsed="0" w:uiPriority="0" w:semiHidden="0" w:name="footnote text"/>
    <w:lsdException w:qFormat="1" w:unhideWhenUsed="0" w:uiPriority="99"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semiHidden="0" w:name="Balloon Text"/>
    <w:lsdException w:qFormat="1" w:unhideWhenUsed="0" w:uiPriority="39" w:semiHidden="0" w:name="Table Grid"/>
    <w:lsdException w:uiPriority="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line="400" w:lineRule="exact"/>
      <w:ind w:firstLine="1013" w:firstLineChars="200"/>
    </w:pPr>
    <w:rPr>
      <w:rFonts w:ascii="宋体" w:hAnsi="宋体" w:eastAsia="仿宋_GB2312" w:cs="宋体"/>
      <w:sz w:val="24"/>
      <w:szCs w:val="22"/>
      <w:lang w:val="zh-CN" w:eastAsia="zh-CN" w:bidi="zh-CN"/>
    </w:rPr>
  </w:style>
  <w:style w:type="paragraph" w:styleId="2">
    <w:name w:val="heading 1"/>
    <w:basedOn w:val="1"/>
    <w:next w:val="1"/>
    <w:link w:val="72"/>
    <w:qFormat/>
    <w:uiPriority w:val="0"/>
    <w:pPr>
      <w:keepNext/>
      <w:keepLines/>
      <w:numPr>
        <w:ilvl w:val="0"/>
        <w:numId w:val="1"/>
      </w:numPr>
      <w:spacing w:after="360"/>
      <w:ind w:firstLineChars="0"/>
      <w:jc w:val="center"/>
      <w:outlineLvl w:val="0"/>
    </w:pPr>
    <w:rPr>
      <w:rFonts w:eastAsia="黑体"/>
      <w:kern w:val="44"/>
      <w:sz w:val="32"/>
    </w:rPr>
  </w:style>
  <w:style w:type="paragraph" w:styleId="3">
    <w:name w:val="heading 2"/>
    <w:basedOn w:val="1"/>
    <w:next w:val="1"/>
    <w:link w:val="75"/>
    <w:unhideWhenUsed/>
    <w:qFormat/>
    <w:uiPriority w:val="0"/>
    <w:pPr>
      <w:keepNext/>
      <w:keepLines/>
      <w:numPr>
        <w:ilvl w:val="1"/>
        <w:numId w:val="1"/>
      </w:numPr>
      <w:ind w:firstLineChars="0"/>
      <w:outlineLvl w:val="1"/>
    </w:pPr>
    <w:rPr>
      <w:rFonts w:ascii="Arial" w:hAnsi="Arial" w:eastAsia="黑体"/>
    </w:rPr>
  </w:style>
  <w:style w:type="paragraph" w:styleId="4">
    <w:name w:val="heading 3"/>
    <w:basedOn w:val="1"/>
    <w:next w:val="1"/>
    <w:link w:val="47"/>
    <w:unhideWhenUsed/>
    <w:qFormat/>
    <w:uiPriority w:val="0"/>
    <w:pPr>
      <w:keepNext/>
      <w:keepLines/>
      <w:numPr>
        <w:ilvl w:val="2"/>
        <w:numId w:val="1"/>
      </w:numPr>
      <w:tabs>
        <w:tab w:val="left" w:pos="0"/>
      </w:tabs>
      <w:ind w:firstLineChars="0"/>
      <w:outlineLvl w:val="2"/>
    </w:pPr>
    <w:rPr>
      <w:rFonts w:eastAsia="黑体"/>
    </w:rPr>
  </w:style>
  <w:style w:type="paragraph" w:styleId="5">
    <w:name w:val="heading 4"/>
    <w:basedOn w:val="1"/>
    <w:next w:val="1"/>
    <w:link w:val="73"/>
    <w:unhideWhenUsed/>
    <w:qFormat/>
    <w:uiPriority w:val="9"/>
    <w:pPr>
      <w:keepNext/>
      <w:keepLines/>
      <w:numPr>
        <w:ilvl w:val="3"/>
        <w:numId w:val="1"/>
      </w:numPr>
      <w:ind w:firstLineChars="0"/>
      <w:outlineLvl w:val="3"/>
    </w:pPr>
    <w:rPr>
      <w:rFonts w:eastAsia="黑体" w:asciiTheme="majorHAnsi" w:hAnsiTheme="majorHAnsi" w:cstheme="majorBidi"/>
      <w:szCs w:val="28"/>
    </w:rPr>
  </w:style>
  <w:style w:type="paragraph" w:styleId="6">
    <w:name w:val="heading 5"/>
    <w:basedOn w:val="1"/>
    <w:next w:val="1"/>
    <w:link w:val="74"/>
    <w:unhideWhenUsed/>
    <w:qFormat/>
    <w:uiPriority w:val="0"/>
    <w:pPr>
      <w:keepNext/>
      <w:keepLines/>
      <w:numPr>
        <w:ilvl w:val="4"/>
        <w:numId w:val="1"/>
      </w:numPr>
      <w:ind w:firstLineChars="0"/>
      <w:outlineLvl w:val="4"/>
    </w:pPr>
    <w:rPr>
      <w:rFonts w:eastAsia="黑体"/>
    </w:rPr>
  </w:style>
  <w:style w:type="paragraph" w:styleId="7">
    <w:name w:val="heading 6"/>
    <w:basedOn w:val="1"/>
    <w:next w:val="1"/>
    <w:link w:val="77"/>
    <w:unhideWhenUsed/>
    <w:qFormat/>
    <w:uiPriority w:val="0"/>
    <w:pPr>
      <w:keepNext/>
      <w:keepLines/>
      <w:numPr>
        <w:ilvl w:val="5"/>
        <w:numId w:val="1"/>
      </w:numPr>
      <w:ind w:firstLineChars="0"/>
      <w:outlineLvl w:val="5"/>
    </w:pPr>
    <w:rPr>
      <w:rFonts w:ascii="Arial" w:hAnsi="Arial" w:eastAsia="黑体"/>
    </w:rPr>
  </w:style>
  <w:style w:type="paragraph" w:styleId="8">
    <w:name w:val="heading 7"/>
    <w:basedOn w:val="1"/>
    <w:next w:val="1"/>
    <w:link w:val="76"/>
    <w:unhideWhenUsed/>
    <w:qFormat/>
    <w:uiPriority w:val="0"/>
    <w:pPr>
      <w:keepNext/>
      <w:keepLines/>
      <w:numPr>
        <w:ilvl w:val="6"/>
        <w:numId w:val="1"/>
      </w:numPr>
      <w:tabs>
        <w:tab w:val="left" w:pos="1296"/>
      </w:tabs>
      <w:spacing w:before="240" w:after="64" w:line="317" w:lineRule="auto"/>
      <w:ind w:firstLine="0" w:firstLineChars="0"/>
      <w:outlineLvl w:val="6"/>
    </w:pPr>
    <w:rPr>
      <w:b/>
    </w:rPr>
  </w:style>
  <w:style w:type="paragraph" w:styleId="9">
    <w:name w:val="heading 8"/>
    <w:basedOn w:val="1"/>
    <w:next w:val="1"/>
    <w:link w:val="147"/>
    <w:unhideWhenUsed/>
    <w:qFormat/>
    <w:uiPriority w:val="0"/>
    <w:pPr>
      <w:keepNext/>
      <w:keepLines/>
      <w:numPr>
        <w:ilvl w:val="7"/>
        <w:numId w:val="1"/>
      </w:numPr>
      <w:tabs>
        <w:tab w:val="left" w:pos="1440"/>
      </w:tabs>
      <w:spacing w:before="240" w:after="64" w:line="317" w:lineRule="auto"/>
      <w:ind w:firstLine="0" w:firstLineChars="0"/>
      <w:outlineLvl w:val="7"/>
    </w:pPr>
    <w:rPr>
      <w:rFonts w:ascii="Arial" w:hAnsi="Arial" w:eastAsia="黑体"/>
    </w:rPr>
  </w:style>
  <w:style w:type="paragraph" w:styleId="10">
    <w:name w:val="heading 9"/>
    <w:basedOn w:val="1"/>
    <w:next w:val="1"/>
    <w:link w:val="148"/>
    <w:semiHidden/>
    <w:unhideWhenUsed/>
    <w:qFormat/>
    <w:uiPriority w:val="0"/>
    <w:pPr>
      <w:keepNext/>
      <w:keepLines/>
      <w:numPr>
        <w:ilvl w:val="8"/>
        <w:numId w:val="1"/>
      </w:numPr>
      <w:tabs>
        <w:tab w:val="left" w:pos="1584"/>
      </w:tabs>
      <w:spacing w:before="240" w:after="64" w:line="317" w:lineRule="auto"/>
      <w:ind w:firstLine="0" w:firstLineChars="0"/>
      <w:outlineLvl w:val="8"/>
    </w:pPr>
    <w:rPr>
      <w:rFonts w:ascii="Arial" w:hAnsi="Arial" w:eastAsia="黑体"/>
      <w:sz w:val="21"/>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autoSpaceDE/>
      <w:autoSpaceDN/>
      <w:spacing w:after="160" w:line="278" w:lineRule="auto"/>
      <w:ind w:left="2520" w:leftChars="1200" w:firstLine="0" w:firstLineChars="0"/>
    </w:pPr>
    <w:rPr>
      <w:rFonts w:asciiTheme="minorHAnsi" w:hAnsiTheme="minorHAnsi" w:eastAsiaTheme="minorEastAsia" w:cstheme="minorBidi"/>
      <w:kern w:val="2"/>
      <w:sz w:val="22"/>
      <w:szCs w:val="24"/>
      <w:lang w:val="en-US" w:bidi="ar-SA"/>
      <w14:ligatures w14:val="standardContextual"/>
    </w:rPr>
  </w:style>
  <w:style w:type="paragraph" w:styleId="12">
    <w:name w:val="Normal Indent"/>
    <w:basedOn w:val="1"/>
    <w:next w:val="13"/>
    <w:qFormat/>
    <w:uiPriority w:val="0"/>
    <w:pPr>
      <w:widowControl/>
      <w:spacing w:before="60" w:after="60"/>
      <w:ind w:right="-556" w:firstLine="420"/>
    </w:pPr>
    <w:rPr>
      <w:color w:val="000000"/>
      <w:szCs w:val="20"/>
      <w:lang w:val="en-AU"/>
    </w:rPr>
  </w:style>
  <w:style w:type="paragraph" w:customStyle="1" w:styleId="1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14">
    <w:name w:val="caption"/>
    <w:basedOn w:val="1"/>
    <w:next w:val="1"/>
    <w:unhideWhenUsed/>
    <w:qFormat/>
    <w:uiPriority w:val="0"/>
    <w:pPr>
      <w:spacing w:before="152" w:after="160"/>
      <w:jc w:val="center"/>
    </w:pPr>
    <w:rPr>
      <w:rFonts w:ascii="Times New Roman" w:hAnsi="Times New Roman" w:eastAsia="宋体" w:cs="Arial"/>
      <w:szCs w:val="21"/>
    </w:rPr>
  </w:style>
  <w:style w:type="paragraph" w:styleId="15">
    <w:name w:val="List Bullet"/>
    <w:basedOn w:val="1"/>
    <w:qFormat/>
    <w:uiPriority w:val="0"/>
    <w:pPr>
      <w:numPr>
        <w:ilvl w:val="0"/>
        <w:numId w:val="2"/>
      </w:numPr>
    </w:pPr>
  </w:style>
  <w:style w:type="paragraph" w:styleId="16">
    <w:name w:val="toa heading"/>
    <w:basedOn w:val="1"/>
    <w:next w:val="1"/>
    <w:qFormat/>
    <w:uiPriority w:val="0"/>
    <w:pPr>
      <w:autoSpaceDE/>
      <w:autoSpaceDN/>
      <w:spacing w:before="120"/>
      <w:ind w:firstLine="880"/>
      <w:jc w:val="both"/>
    </w:pPr>
    <w:rPr>
      <w:rFonts w:ascii="Arial" w:hAnsi="Arial" w:eastAsia="仿宋GB2312"/>
      <w:kern w:val="2"/>
      <w:szCs w:val="24"/>
      <w:lang w:val="en-US" w:bidi="ar-SA"/>
    </w:rPr>
  </w:style>
  <w:style w:type="paragraph" w:styleId="17">
    <w:name w:val="annotation text"/>
    <w:basedOn w:val="1"/>
    <w:link w:val="149"/>
    <w:semiHidden/>
    <w:qFormat/>
    <w:uiPriority w:val="99"/>
  </w:style>
  <w:style w:type="paragraph" w:styleId="18">
    <w:name w:val="Body Text"/>
    <w:basedOn w:val="1"/>
    <w:link w:val="150"/>
    <w:qFormat/>
    <w:uiPriority w:val="1"/>
    <w:rPr>
      <w:szCs w:val="24"/>
    </w:rPr>
  </w:style>
  <w:style w:type="paragraph" w:styleId="19">
    <w:name w:val="Body Text Indent"/>
    <w:basedOn w:val="1"/>
    <w:next w:val="20"/>
    <w:link w:val="152"/>
    <w:unhideWhenUsed/>
    <w:qFormat/>
    <w:uiPriority w:val="0"/>
    <w:pPr>
      <w:spacing w:after="120"/>
      <w:ind w:left="420" w:leftChars="200"/>
    </w:pPr>
  </w:style>
  <w:style w:type="paragraph" w:styleId="20">
    <w:name w:val="Body Text First Indent 2"/>
    <w:basedOn w:val="19"/>
    <w:next w:val="12"/>
    <w:link w:val="153"/>
    <w:qFormat/>
    <w:uiPriority w:val="0"/>
    <w:rPr>
      <w:rFonts w:ascii="Arial" w:hAnsi="Arial"/>
    </w:rPr>
  </w:style>
  <w:style w:type="paragraph" w:styleId="21">
    <w:name w:val="Block Text"/>
    <w:basedOn w:val="1"/>
    <w:qFormat/>
    <w:uiPriority w:val="0"/>
    <w:pPr>
      <w:spacing w:after="120"/>
      <w:ind w:left="1440" w:leftChars="700" w:right="700" w:rightChars="700"/>
    </w:pPr>
  </w:style>
  <w:style w:type="paragraph" w:styleId="22">
    <w:name w:val="toc 5"/>
    <w:basedOn w:val="1"/>
    <w:next w:val="1"/>
    <w:qFormat/>
    <w:uiPriority w:val="39"/>
    <w:pPr>
      <w:ind w:left="1680" w:leftChars="800"/>
    </w:pPr>
  </w:style>
  <w:style w:type="paragraph" w:styleId="23">
    <w:name w:val="toc 3"/>
    <w:basedOn w:val="1"/>
    <w:next w:val="1"/>
    <w:qFormat/>
    <w:uiPriority w:val="39"/>
    <w:pPr>
      <w:ind w:left="840" w:leftChars="400"/>
    </w:pPr>
  </w:style>
  <w:style w:type="paragraph" w:styleId="24">
    <w:name w:val="Plain Text"/>
    <w:basedOn w:val="1"/>
    <w:link w:val="154"/>
    <w:qFormat/>
    <w:uiPriority w:val="0"/>
    <w:rPr>
      <w:rFonts w:hAnsi="Courier New" w:cs="Courier New" w:eastAsiaTheme="minorEastAsia"/>
      <w:sz w:val="21"/>
      <w:szCs w:val="21"/>
    </w:rPr>
  </w:style>
  <w:style w:type="paragraph" w:styleId="25">
    <w:name w:val="toc 8"/>
    <w:basedOn w:val="1"/>
    <w:next w:val="1"/>
    <w:autoRedefine/>
    <w:unhideWhenUsed/>
    <w:qFormat/>
    <w:uiPriority w:val="39"/>
    <w:pPr>
      <w:autoSpaceDE/>
      <w:autoSpaceDN/>
      <w:spacing w:after="160" w:line="278" w:lineRule="auto"/>
      <w:ind w:left="2940" w:leftChars="1400" w:firstLine="0" w:firstLineChars="0"/>
    </w:pPr>
    <w:rPr>
      <w:rFonts w:asciiTheme="minorHAnsi" w:hAnsiTheme="minorHAnsi" w:eastAsiaTheme="minorEastAsia" w:cstheme="minorBidi"/>
      <w:kern w:val="2"/>
      <w:sz w:val="22"/>
      <w:szCs w:val="24"/>
      <w:lang w:val="en-US" w:bidi="ar-SA"/>
      <w14:ligatures w14:val="standardContextual"/>
    </w:rPr>
  </w:style>
  <w:style w:type="paragraph" w:styleId="26">
    <w:name w:val="Balloon Text"/>
    <w:basedOn w:val="1"/>
    <w:link w:val="173"/>
    <w:unhideWhenUsed/>
    <w:qFormat/>
    <w:uiPriority w:val="0"/>
    <w:pPr>
      <w:autoSpaceDE/>
      <w:autoSpaceDN/>
      <w:spacing w:line="240" w:lineRule="auto"/>
      <w:ind w:firstLine="880"/>
      <w:jc w:val="both"/>
    </w:pPr>
    <w:rPr>
      <w:rFonts w:ascii="仿宋GB2312" w:hAnsi="仿宋GB2312" w:eastAsia="仿宋GB2312"/>
      <w:kern w:val="2"/>
      <w:sz w:val="18"/>
      <w:szCs w:val="18"/>
      <w:lang w:val="en-US" w:bidi="ar-SA"/>
    </w:rPr>
  </w:style>
  <w:style w:type="paragraph" w:styleId="27">
    <w:name w:val="footer"/>
    <w:basedOn w:val="1"/>
    <w:link w:val="155"/>
    <w:qFormat/>
    <w:uiPriority w:val="99"/>
    <w:pPr>
      <w:tabs>
        <w:tab w:val="center" w:pos="4153"/>
        <w:tab w:val="right" w:pos="8306"/>
      </w:tabs>
      <w:snapToGrid w:val="0"/>
    </w:pPr>
    <w:rPr>
      <w:sz w:val="18"/>
    </w:rPr>
  </w:style>
  <w:style w:type="paragraph" w:styleId="28">
    <w:name w:val="header"/>
    <w:basedOn w:val="1"/>
    <w:link w:val="156"/>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pPr>
    <w:rPr>
      <w:sz w:val="18"/>
    </w:rPr>
  </w:style>
  <w:style w:type="paragraph" w:styleId="29">
    <w:name w:val="toc 1"/>
    <w:basedOn w:val="1"/>
    <w:next w:val="1"/>
    <w:qFormat/>
    <w:uiPriority w:val="39"/>
  </w:style>
  <w:style w:type="paragraph" w:styleId="30">
    <w:name w:val="toc 4"/>
    <w:basedOn w:val="1"/>
    <w:next w:val="1"/>
    <w:qFormat/>
    <w:uiPriority w:val="39"/>
    <w:pPr>
      <w:ind w:left="1260" w:leftChars="600"/>
    </w:pPr>
  </w:style>
  <w:style w:type="paragraph" w:styleId="31">
    <w:name w:val="toc 6"/>
    <w:basedOn w:val="1"/>
    <w:next w:val="1"/>
    <w:qFormat/>
    <w:uiPriority w:val="39"/>
    <w:pPr>
      <w:ind w:left="2100" w:leftChars="1000"/>
    </w:pPr>
  </w:style>
  <w:style w:type="paragraph" w:styleId="32">
    <w:name w:val="toc 2"/>
    <w:basedOn w:val="1"/>
    <w:next w:val="1"/>
    <w:qFormat/>
    <w:uiPriority w:val="39"/>
    <w:pPr>
      <w:ind w:left="420" w:leftChars="200"/>
    </w:pPr>
  </w:style>
  <w:style w:type="paragraph" w:styleId="33">
    <w:name w:val="toc 9"/>
    <w:basedOn w:val="1"/>
    <w:next w:val="1"/>
    <w:autoRedefine/>
    <w:unhideWhenUsed/>
    <w:qFormat/>
    <w:uiPriority w:val="39"/>
    <w:pPr>
      <w:autoSpaceDE/>
      <w:autoSpaceDN/>
      <w:spacing w:after="160" w:line="278" w:lineRule="auto"/>
      <w:ind w:left="3360" w:leftChars="1600" w:firstLine="0" w:firstLineChars="0"/>
    </w:pPr>
    <w:rPr>
      <w:rFonts w:asciiTheme="minorHAnsi" w:hAnsiTheme="minorHAnsi" w:eastAsiaTheme="minorEastAsia" w:cstheme="minorBidi"/>
      <w:kern w:val="2"/>
      <w:sz w:val="22"/>
      <w:szCs w:val="24"/>
      <w:lang w:val="en-US" w:bidi="ar-SA"/>
      <w14:ligatures w14:val="standardContextual"/>
    </w:rPr>
  </w:style>
  <w:style w:type="paragraph" w:styleId="34">
    <w:name w:val="HTML Preformatted"/>
    <w:basedOn w:val="1"/>
    <w:link w:val="157"/>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hint="eastAsia" w:eastAsia="宋体" w:cs="Times New Roman"/>
      <w:szCs w:val="24"/>
      <w:lang w:val="en-US" w:bidi="ar-SA"/>
    </w:rPr>
  </w:style>
  <w:style w:type="paragraph" w:styleId="35">
    <w:name w:val="Normal (Web)"/>
    <w:basedOn w:val="1"/>
    <w:qFormat/>
    <w:uiPriority w:val="99"/>
    <w:pPr>
      <w:spacing w:before="100" w:beforeAutospacing="1" w:after="100" w:afterAutospacing="1"/>
    </w:pPr>
    <w:rPr>
      <w:rFonts w:cs="Times New Roman"/>
      <w:lang w:val="en-US" w:bidi="ar-SA"/>
    </w:rPr>
  </w:style>
  <w:style w:type="paragraph" w:styleId="36">
    <w:name w:val="annotation subject"/>
    <w:basedOn w:val="17"/>
    <w:next w:val="1"/>
    <w:link w:val="172"/>
    <w:unhideWhenUsed/>
    <w:qFormat/>
    <w:uiPriority w:val="99"/>
    <w:pPr>
      <w:autoSpaceDE/>
      <w:autoSpaceDN/>
      <w:ind w:firstLine="880"/>
    </w:pPr>
    <w:rPr>
      <w:rFonts w:ascii="仿宋GB2312" w:hAnsi="仿宋GB2312" w:eastAsia="仿宋GB2312"/>
      <w:b/>
      <w:bCs/>
      <w:kern w:val="2"/>
      <w:szCs w:val="24"/>
      <w:lang w:val="en-US" w:bidi="ar-SA"/>
    </w:rPr>
  </w:style>
  <w:style w:type="paragraph" w:styleId="37">
    <w:name w:val="Body Text First Indent"/>
    <w:basedOn w:val="18"/>
    <w:link w:val="151"/>
    <w:qFormat/>
    <w:uiPriority w:val="99"/>
    <w:pPr>
      <w:adjustRightInd w:val="0"/>
      <w:snapToGrid w:val="0"/>
      <w:spacing w:line="360" w:lineRule="auto"/>
      <w:ind w:firstLine="420" w:firstLineChars="100"/>
    </w:pPr>
    <w:rPr>
      <w:rFonts w:hint="eastAsia" w:eastAsia="宋体" w:cs="Times New Roman"/>
      <w:kern w:val="2"/>
      <w:sz w:val="20"/>
      <w:szCs w:val="20"/>
      <w:lang w:val="en-US" w:bidi="ar-SA"/>
    </w:rPr>
  </w:style>
  <w:style w:type="table" w:styleId="39">
    <w:name w:val="Table Grid"/>
    <w:basedOn w:val="3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basedOn w:val="40"/>
    <w:qFormat/>
    <w:uiPriority w:val="22"/>
    <w:rPr>
      <w:b/>
    </w:rPr>
  </w:style>
  <w:style w:type="character" w:styleId="42">
    <w:name w:val="FollowedHyperlink"/>
    <w:basedOn w:val="40"/>
    <w:unhideWhenUsed/>
    <w:qFormat/>
    <w:uiPriority w:val="99"/>
    <w:rPr>
      <w:color w:val="7E1FAD" w:themeColor="followedHyperlink"/>
      <w:u w:val="single"/>
      <w14:textFill>
        <w14:solidFill>
          <w14:schemeClr w14:val="folHlink"/>
        </w14:solidFill>
      </w14:textFill>
    </w:rPr>
  </w:style>
  <w:style w:type="character" w:styleId="43">
    <w:name w:val="Emphasis"/>
    <w:basedOn w:val="40"/>
    <w:qFormat/>
    <w:uiPriority w:val="0"/>
    <w:rPr>
      <w:i/>
    </w:rPr>
  </w:style>
  <w:style w:type="character" w:styleId="44">
    <w:name w:val="Hyperlink"/>
    <w:basedOn w:val="40"/>
    <w:qFormat/>
    <w:uiPriority w:val="99"/>
    <w:rPr>
      <w:rFonts w:ascii="Verdana" w:hAnsi="Verdana"/>
      <w:color w:val="0000FF"/>
      <w:kern w:val="0"/>
      <w:sz w:val="20"/>
      <w:szCs w:val="20"/>
      <w:u w:val="single"/>
      <w:lang w:eastAsia="en-US"/>
    </w:rPr>
  </w:style>
  <w:style w:type="character" w:styleId="45">
    <w:name w:val="HTML Code"/>
    <w:basedOn w:val="40"/>
    <w:qFormat/>
    <w:uiPriority w:val="0"/>
    <w:rPr>
      <w:rFonts w:ascii="Courier New" w:hAnsi="Courier New"/>
      <w:sz w:val="20"/>
    </w:rPr>
  </w:style>
  <w:style w:type="character" w:styleId="46">
    <w:name w:val="annotation reference"/>
    <w:basedOn w:val="40"/>
    <w:qFormat/>
    <w:uiPriority w:val="99"/>
    <w:rPr>
      <w:sz w:val="21"/>
      <w:szCs w:val="21"/>
    </w:rPr>
  </w:style>
  <w:style w:type="character" w:customStyle="1" w:styleId="47">
    <w:name w:val="标题 3 字符"/>
    <w:link w:val="4"/>
    <w:qFormat/>
    <w:uiPriority w:val="0"/>
    <w:rPr>
      <w:rFonts w:ascii="宋体" w:hAnsi="宋体" w:eastAsia="黑体" w:cs="宋体"/>
      <w:sz w:val="24"/>
      <w:szCs w:val="22"/>
      <w:lang w:val="zh-CN" w:bidi="zh-CN"/>
    </w:rPr>
  </w:style>
  <w:style w:type="paragraph" w:customStyle="1" w:styleId="48">
    <w:name w:val="无缩进正文"/>
    <w:basedOn w:val="1"/>
    <w:next w:val="1"/>
    <w:qFormat/>
    <w:uiPriority w:val="0"/>
    <w:pPr>
      <w:ind w:firstLine="0" w:firstLineChars="0"/>
    </w:pPr>
  </w:style>
  <w:style w:type="paragraph" w:customStyle="1" w:styleId="49">
    <w:name w:val="样式3"/>
    <w:basedOn w:val="1"/>
    <w:qFormat/>
    <w:uiPriority w:val="0"/>
    <w:pPr>
      <w:ind w:firstLine="0" w:firstLineChars="0"/>
    </w:pPr>
    <w:rPr>
      <w:rFonts w:hint="eastAsia" w:ascii="Times New Roman" w:hAnsi="Times New Roman" w:eastAsia="宋体" w:cs="Times New Roman"/>
    </w:rPr>
  </w:style>
  <w:style w:type="paragraph" w:customStyle="1" w:styleId="50">
    <w:name w:val="样式4"/>
    <w:basedOn w:val="1"/>
    <w:qFormat/>
    <w:uiPriority w:val="0"/>
    <w:pPr>
      <w:ind w:firstLine="0" w:firstLineChars="0"/>
    </w:pPr>
    <w:rPr>
      <w:rFonts w:hint="eastAsia" w:ascii="Times New Roman" w:hAnsi="Times New Roman" w:eastAsia="宋体" w:cs="Times New Roman"/>
    </w:rPr>
  </w:style>
  <w:style w:type="table" w:customStyle="1" w:styleId="51">
    <w:name w:val="网格型2"/>
    <w:basedOn w:val="3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2">
    <w:name w:val="网格型4"/>
    <w:basedOn w:val="3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3">
    <w:name w:val="ZNY-正文"/>
    <w:basedOn w:val="1"/>
    <w:next w:val="20"/>
    <w:qFormat/>
    <w:uiPriority w:val="0"/>
    <w:pPr>
      <w:spacing w:line="360" w:lineRule="auto"/>
    </w:pPr>
    <w:rPr>
      <w:sz w:val="30"/>
      <w:szCs w:val="24"/>
    </w:rPr>
  </w:style>
  <w:style w:type="paragraph" w:styleId="54">
    <w:name w:val="List Paragraph"/>
    <w:basedOn w:val="1"/>
    <w:qFormat/>
    <w:uiPriority w:val="99"/>
    <w:pPr>
      <w:spacing w:before="120" w:after="120" w:line="276" w:lineRule="auto"/>
      <w:ind w:firstLine="420"/>
    </w:pPr>
    <w:rPr>
      <w:rFonts w:ascii="Calibri" w:hAnsi="Calibri"/>
    </w:rPr>
  </w:style>
  <w:style w:type="paragraph" w:customStyle="1" w:styleId="55">
    <w:name w:val="图表说明"/>
    <w:basedOn w:val="1"/>
    <w:qFormat/>
    <w:uiPriority w:val="0"/>
    <w:pPr>
      <w:jc w:val="center"/>
    </w:pPr>
    <w:rPr>
      <w:rFonts w:ascii="Arial" w:hAnsi="Arial" w:cs="Arial"/>
      <w:b/>
      <w:sz w:val="18"/>
      <w:szCs w:val="24"/>
    </w:rPr>
  </w:style>
  <w:style w:type="paragraph" w:customStyle="1" w:styleId="56">
    <w:name w:val="无目录标题2中"/>
    <w:basedOn w:val="57"/>
    <w:qFormat/>
    <w:uiPriority w:val="0"/>
    <w:pPr>
      <w:spacing w:before="156" w:beforeLines="50" w:after="156" w:afterLines="50"/>
    </w:pPr>
    <w:rPr>
      <w:sz w:val="21"/>
    </w:rPr>
  </w:style>
  <w:style w:type="paragraph" w:customStyle="1" w:styleId="57">
    <w:name w:val="无目录标题1大"/>
    <w:basedOn w:val="58"/>
    <w:qFormat/>
    <w:uiPriority w:val="0"/>
    <w:pPr>
      <w:spacing w:line="240" w:lineRule="auto"/>
      <w:jc w:val="left"/>
    </w:pPr>
    <w:rPr>
      <w:rFonts w:asciiTheme="minorEastAsia" w:hAnsiTheme="minorEastAsia" w:eastAsiaTheme="minorEastAsia"/>
      <w:b/>
      <w:bCs/>
      <w:sz w:val="24"/>
    </w:rPr>
  </w:style>
  <w:style w:type="paragraph" w:customStyle="1" w:styleId="58">
    <w:name w:val="无目录标题0居中"/>
    <w:basedOn w:val="1"/>
    <w:qFormat/>
    <w:uiPriority w:val="0"/>
    <w:pPr>
      <w:widowControl/>
      <w:spacing w:line="480" w:lineRule="auto"/>
      <w:jc w:val="center"/>
    </w:pPr>
    <w:rPr>
      <w:rFonts w:ascii="黑体" w:hAnsi="黑体" w:eastAsia="黑体" w:cs="Arial"/>
      <w:sz w:val="40"/>
      <w:szCs w:val="40"/>
    </w:rPr>
  </w:style>
  <w:style w:type="paragraph" w:customStyle="1" w:styleId="59">
    <w:name w:val="普通段落"/>
    <w:basedOn w:val="1"/>
    <w:qFormat/>
    <w:uiPriority w:val="0"/>
    <w:pPr>
      <w:spacing w:after="120" w:line="276" w:lineRule="auto"/>
    </w:pPr>
    <w:rPr>
      <w:rFonts w:ascii="Arial" w:hAnsi="Arial"/>
      <w:szCs w:val="20"/>
    </w:rPr>
  </w:style>
  <w:style w:type="paragraph" w:customStyle="1" w:styleId="60">
    <w:name w:val="FCHYU-缩进"/>
    <w:basedOn w:val="1"/>
    <w:qFormat/>
    <w:uiPriority w:val="0"/>
    <w:pPr>
      <w:widowControl/>
      <w:adjustRightInd w:val="0"/>
      <w:snapToGrid w:val="0"/>
      <w:spacing w:before="20" w:beforeLines="20" w:after="10" w:afterLines="10" w:line="360" w:lineRule="auto"/>
      <w:ind w:firstLine="200"/>
    </w:pPr>
    <w:rPr>
      <w:rFonts w:hint="eastAsia" w:eastAsia="宋体" w:cs="Times New Roman"/>
      <w:color w:val="000000"/>
      <w:szCs w:val="24"/>
      <w:lang w:val="en-US" w:bidi="ar-SA"/>
    </w:rPr>
  </w:style>
  <w:style w:type="paragraph" w:customStyle="1" w:styleId="61">
    <w:name w:val="格式5_符号型项目专用"/>
    <w:basedOn w:val="1"/>
    <w:qFormat/>
    <w:uiPriority w:val="0"/>
    <w:pPr>
      <w:adjustRightInd w:val="0"/>
      <w:snapToGrid w:val="0"/>
      <w:spacing w:line="360" w:lineRule="auto"/>
      <w:ind w:left="1271" w:hanging="420"/>
      <w:jc w:val="both"/>
      <w:textAlignment w:val="baseline"/>
    </w:pPr>
    <w:rPr>
      <w:rFonts w:ascii="Times New Roman" w:hAnsi="Times New Roman" w:eastAsia="宋体" w:cs="Times New Roman"/>
      <w:color w:val="000000"/>
      <w:szCs w:val="24"/>
      <w:lang w:val="en-US" w:bidi="ar-SA"/>
    </w:rPr>
  </w:style>
  <w:style w:type="paragraph" w:customStyle="1" w:styleId="62">
    <w:name w:val="正文 1"/>
    <w:basedOn w:val="1"/>
    <w:qFormat/>
    <w:uiPriority w:val="0"/>
    <w:pPr>
      <w:adjustRightInd w:val="0"/>
      <w:snapToGrid w:val="0"/>
      <w:spacing w:line="360" w:lineRule="auto"/>
      <w:ind w:firstLine="883"/>
    </w:pPr>
    <w:rPr>
      <w:rFonts w:hint="eastAsia" w:eastAsia="宋体" w:cs="Times New Roman"/>
      <w:kern w:val="2"/>
      <w:szCs w:val="24"/>
      <w:lang w:val="en-US" w:bidi="ar-SA"/>
    </w:rPr>
  </w:style>
  <w:style w:type="paragraph" w:customStyle="1" w:styleId="63">
    <w:name w:val="列表段落1"/>
    <w:basedOn w:val="1"/>
    <w:qFormat/>
    <w:uiPriority w:val="0"/>
    <w:pPr>
      <w:adjustRightInd w:val="0"/>
      <w:snapToGrid w:val="0"/>
      <w:spacing w:line="360" w:lineRule="auto"/>
      <w:ind w:left="1420" w:hanging="360"/>
    </w:pPr>
    <w:rPr>
      <w:rFonts w:hint="eastAsia" w:eastAsia="宋体" w:cs="Times New Roman"/>
      <w:kern w:val="2"/>
      <w:szCs w:val="24"/>
      <w:lang w:val="en-US" w:bidi="ar-SA"/>
    </w:rPr>
  </w:style>
  <w:style w:type="paragraph" w:customStyle="1" w:styleId="64">
    <w:name w:val="Char"/>
    <w:basedOn w:val="1"/>
    <w:qFormat/>
    <w:uiPriority w:val="0"/>
    <w:pPr>
      <w:adjustRightInd w:val="0"/>
      <w:snapToGrid w:val="0"/>
      <w:spacing w:line="360" w:lineRule="auto"/>
    </w:pPr>
    <w:rPr>
      <w:rFonts w:ascii="Tahoma" w:hAnsi="Tahoma" w:eastAsia="宋体" w:cs="Times New Roman"/>
      <w:kern w:val="2"/>
      <w:szCs w:val="24"/>
      <w:lang w:val="en-US" w:bidi="ar-SA"/>
    </w:rPr>
  </w:style>
  <w:style w:type="paragraph" w:customStyle="1" w:styleId="65">
    <w:name w:val="Leier图片"/>
    <w:qFormat/>
    <w:uiPriority w:val="0"/>
    <w:pPr>
      <w:widowControl w:val="0"/>
      <w:adjustRightInd w:val="0"/>
      <w:snapToGrid w:val="0"/>
      <w:spacing w:line="240" w:lineRule="atLeast"/>
      <w:jc w:val="center"/>
    </w:pPr>
    <w:rPr>
      <w:rFonts w:ascii="Calibri" w:hAnsi="Calibri" w:eastAsia="微软雅黑" w:cs="Times New Roman"/>
      <w:kern w:val="2"/>
      <w:sz w:val="24"/>
      <w:szCs w:val="24"/>
      <w:lang w:val="en-US" w:eastAsia="zh-CN" w:bidi="ar-SA"/>
    </w:rPr>
  </w:style>
  <w:style w:type="paragraph" w:customStyle="1" w:styleId="66">
    <w:name w:val="列出段落1"/>
    <w:basedOn w:val="1"/>
    <w:qFormat/>
    <w:uiPriority w:val="34"/>
    <w:pPr>
      <w:widowControl/>
      <w:spacing w:line="360" w:lineRule="auto"/>
      <w:ind w:left="720" w:leftChars="100" w:right="100" w:rightChars="100"/>
      <w:contextualSpacing/>
    </w:pPr>
    <w:rPr>
      <w:rFonts w:ascii="Times" w:hAnsi="Times" w:eastAsia="微软雅黑" w:cs="Times New Roman"/>
      <w:sz w:val="20"/>
      <w:szCs w:val="20"/>
    </w:rPr>
  </w:style>
  <w:style w:type="paragraph" w:customStyle="1" w:styleId="67">
    <w:name w:val="DCG-表"/>
    <w:basedOn w:val="1"/>
    <w:qFormat/>
    <w:uiPriority w:val="0"/>
    <w:rPr>
      <w:rFonts w:ascii="Times New Roman" w:hAnsi="Times New Roman" w:cs="Times New Roman (正文 CS 字体)"/>
    </w:rPr>
  </w:style>
  <w:style w:type="paragraph" w:customStyle="1" w:styleId="68">
    <w:name w:val="一级列表"/>
    <w:basedOn w:val="1"/>
    <w:qFormat/>
    <w:uiPriority w:val="0"/>
    <w:pPr>
      <w:numPr>
        <w:ilvl w:val="0"/>
        <w:numId w:val="3"/>
      </w:numPr>
      <w:spacing w:line="360" w:lineRule="auto"/>
    </w:pPr>
    <w:rPr>
      <w:szCs w:val="20"/>
    </w:rPr>
  </w:style>
  <w:style w:type="paragraph" w:styleId="69">
    <w:name w:val="No Spacing"/>
    <w:qFormat/>
    <w:uiPriority w:val="0"/>
    <w:pPr>
      <w:widowControl w:val="0"/>
      <w:spacing w:line="360" w:lineRule="auto"/>
      <w:ind w:firstLine="200" w:firstLineChars="200"/>
      <w:jc w:val="both"/>
    </w:pPr>
    <w:rPr>
      <w:rFonts w:asciiTheme="minorHAnsi" w:hAnsiTheme="minorHAnsi" w:eastAsiaTheme="minorEastAsia" w:cstheme="minorBidi"/>
      <w:kern w:val="2"/>
      <w:sz w:val="21"/>
      <w:szCs w:val="22"/>
      <w:lang w:val="en-US" w:eastAsia="zh-CN" w:bidi="ar-SA"/>
    </w:rPr>
  </w:style>
  <w:style w:type="paragraph" w:customStyle="1" w:styleId="70">
    <w:name w:val="插图题注"/>
    <w:basedOn w:val="1"/>
    <w:next w:val="1"/>
    <w:link w:val="71"/>
    <w:autoRedefine/>
    <w:qFormat/>
    <w:uiPriority w:val="0"/>
    <w:pPr>
      <w:keepNext/>
      <w:spacing w:before="60"/>
      <w:jc w:val="center"/>
    </w:pPr>
    <w:rPr>
      <w:rFonts w:ascii="黑体" w:hAnsi="黑体" w:eastAsia="黑体" w:cs="Times New Roman"/>
      <w:szCs w:val="21"/>
    </w:rPr>
  </w:style>
  <w:style w:type="character" w:customStyle="1" w:styleId="71">
    <w:name w:val="插图题注 Char"/>
    <w:basedOn w:val="40"/>
    <w:link w:val="70"/>
    <w:qFormat/>
    <w:uiPriority w:val="0"/>
    <w:rPr>
      <w:rFonts w:ascii="黑体" w:hAnsi="黑体" w:eastAsia="黑体" w:cs="Times New Roman"/>
      <w:szCs w:val="21"/>
    </w:rPr>
  </w:style>
  <w:style w:type="character" w:customStyle="1" w:styleId="72">
    <w:name w:val="标题 1 字符"/>
    <w:link w:val="2"/>
    <w:qFormat/>
    <w:uiPriority w:val="0"/>
    <w:rPr>
      <w:rFonts w:ascii="宋体" w:hAnsi="宋体" w:eastAsia="黑体" w:cs="宋体"/>
      <w:kern w:val="44"/>
      <w:sz w:val="32"/>
      <w:szCs w:val="22"/>
      <w:lang w:val="zh-CN" w:bidi="zh-CN"/>
    </w:rPr>
  </w:style>
  <w:style w:type="character" w:customStyle="1" w:styleId="73">
    <w:name w:val="标题 4 字符"/>
    <w:link w:val="5"/>
    <w:qFormat/>
    <w:uiPriority w:val="9"/>
    <w:rPr>
      <w:rFonts w:eastAsia="黑体" w:asciiTheme="majorHAnsi" w:hAnsiTheme="majorHAnsi" w:cstheme="majorBidi"/>
      <w:sz w:val="24"/>
      <w:szCs w:val="28"/>
      <w:lang w:val="zh-CN" w:bidi="zh-CN"/>
    </w:rPr>
  </w:style>
  <w:style w:type="character" w:customStyle="1" w:styleId="74">
    <w:name w:val="标题 5 字符"/>
    <w:link w:val="6"/>
    <w:qFormat/>
    <w:uiPriority w:val="0"/>
    <w:rPr>
      <w:rFonts w:ascii="宋体" w:hAnsi="宋体" w:eastAsia="黑体" w:cs="宋体"/>
      <w:sz w:val="24"/>
      <w:szCs w:val="22"/>
      <w:lang w:val="zh-CN" w:bidi="zh-CN"/>
    </w:rPr>
  </w:style>
  <w:style w:type="character" w:customStyle="1" w:styleId="75">
    <w:name w:val="标题 2 字符"/>
    <w:link w:val="3"/>
    <w:qFormat/>
    <w:uiPriority w:val="0"/>
    <w:rPr>
      <w:rFonts w:ascii="Arial" w:hAnsi="Arial" w:eastAsia="黑体" w:cs="宋体"/>
      <w:sz w:val="24"/>
      <w:szCs w:val="22"/>
      <w:lang w:val="zh-CN" w:bidi="zh-CN"/>
    </w:rPr>
  </w:style>
  <w:style w:type="character" w:customStyle="1" w:styleId="76">
    <w:name w:val="标题 7 字符"/>
    <w:link w:val="8"/>
    <w:qFormat/>
    <w:uiPriority w:val="0"/>
    <w:rPr>
      <w:rFonts w:ascii="宋体" w:hAnsi="宋体" w:eastAsia="仿宋_GB2312" w:cs="宋体"/>
      <w:b/>
      <w:sz w:val="24"/>
      <w:szCs w:val="22"/>
      <w:lang w:val="zh-CN" w:bidi="zh-CN"/>
    </w:rPr>
  </w:style>
  <w:style w:type="character" w:customStyle="1" w:styleId="77">
    <w:name w:val="标题 6 字符"/>
    <w:link w:val="7"/>
    <w:qFormat/>
    <w:uiPriority w:val="0"/>
    <w:rPr>
      <w:rFonts w:ascii="Arial" w:hAnsi="Arial" w:eastAsia="黑体" w:cs="宋体"/>
      <w:sz w:val="24"/>
      <w:szCs w:val="22"/>
      <w:lang w:val="zh-CN" w:bidi="zh-CN"/>
    </w:rPr>
  </w:style>
  <w:style w:type="paragraph" w:customStyle="1" w:styleId="78">
    <w:name w:val="_Style 28"/>
    <w:basedOn w:val="1"/>
    <w:next w:val="54"/>
    <w:qFormat/>
    <w:uiPriority w:val="34"/>
    <w:pPr>
      <w:ind w:firstLine="420"/>
    </w:pPr>
    <w:rPr>
      <w:rFonts w:ascii="Times New Roman" w:hAnsi="Times New Roman"/>
    </w:rPr>
  </w:style>
  <w:style w:type="paragraph" w:customStyle="1" w:styleId="79">
    <w:name w:val="_Style 29"/>
    <w:basedOn w:val="1"/>
    <w:next w:val="54"/>
    <w:qFormat/>
    <w:uiPriority w:val="34"/>
    <w:pPr>
      <w:ind w:firstLine="420"/>
    </w:pPr>
    <w:rPr>
      <w:rFonts w:ascii="Times New Roman" w:hAnsi="Times New Roman"/>
    </w:rPr>
  </w:style>
  <w:style w:type="paragraph" w:customStyle="1" w:styleId="80">
    <w:name w:val="正文1"/>
    <w:basedOn w:val="1"/>
    <w:next w:val="1"/>
    <w:qFormat/>
    <w:uiPriority w:val="0"/>
    <w:pPr>
      <w:ind w:firstLine="200"/>
    </w:pPr>
    <w:rPr>
      <w:sz w:val="28"/>
      <w:szCs w:val="24"/>
    </w:rPr>
  </w:style>
  <w:style w:type="paragraph" w:customStyle="1" w:styleId="81">
    <w:name w:val="样式 正文缩进 + 首行缩进:  2 字符"/>
    <w:basedOn w:val="1"/>
    <w:qFormat/>
    <w:uiPriority w:val="0"/>
    <w:pPr>
      <w:ind w:firstLine="200"/>
    </w:pPr>
    <w:rPr>
      <w:rFonts w:ascii="Arial" w:hAnsi="Arial"/>
      <w:szCs w:val="20"/>
    </w:rPr>
  </w:style>
  <w:style w:type="paragraph" w:customStyle="1" w:styleId="82">
    <w:name w:val="a方案正文"/>
    <w:basedOn w:val="1"/>
    <w:qFormat/>
    <w:uiPriority w:val="0"/>
    <w:pPr>
      <w:widowControl/>
      <w:adjustRightInd w:val="0"/>
      <w:snapToGrid w:val="0"/>
      <w:ind w:firstLine="480"/>
    </w:pPr>
    <w:rPr>
      <w:szCs w:val="24"/>
    </w:rPr>
  </w:style>
  <w:style w:type="paragraph" w:customStyle="1" w:styleId="83">
    <w:name w:val="_正文段落"/>
    <w:basedOn w:val="24"/>
    <w:qFormat/>
    <w:uiPriority w:val="0"/>
    <w:pPr>
      <w:ind w:firstLine="200"/>
    </w:pPr>
    <w:rPr>
      <w:rFonts w:ascii="Calibri" w:hAnsi="Calibri" w:cs="Calibri"/>
    </w:rPr>
  </w:style>
  <w:style w:type="paragraph" w:customStyle="1" w:styleId="84">
    <w:name w:val="正文2"/>
    <w:qFormat/>
    <w:uiPriority w:val="0"/>
    <w:pPr>
      <w:jc w:val="both"/>
    </w:pPr>
    <w:rPr>
      <w:rFonts w:ascii="Times New Roman" w:hAnsi="Times New Roman" w:eastAsia="宋体" w:cs="Times New Roman"/>
      <w:kern w:val="2"/>
      <w:sz w:val="21"/>
      <w:szCs w:val="21"/>
      <w:lang w:val="en-US" w:eastAsia="zh-CN" w:bidi="ar-SA"/>
    </w:rPr>
  </w:style>
  <w:style w:type="character" w:customStyle="1" w:styleId="85">
    <w:name w:val="未处理的提及1"/>
    <w:basedOn w:val="40"/>
    <w:semiHidden/>
    <w:unhideWhenUsed/>
    <w:qFormat/>
    <w:uiPriority w:val="99"/>
    <w:rPr>
      <w:color w:val="605E5C"/>
      <w:shd w:val="clear" w:color="auto" w:fill="E1DFDD"/>
    </w:rPr>
  </w:style>
  <w:style w:type="character" w:customStyle="1" w:styleId="86">
    <w:name w:val="text_zbf3n"/>
    <w:basedOn w:val="40"/>
    <w:qFormat/>
    <w:uiPriority w:val="0"/>
  </w:style>
  <w:style w:type="paragraph" w:customStyle="1" w:styleId="87">
    <w:name w:val="正文（SANGFOR）"/>
    <w:basedOn w:val="1"/>
    <w:qFormat/>
    <w:uiPriority w:val="0"/>
    <w:pPr>
      <w:tabs>
        <w:tab w:val="left" w:pos="8364"/>
        <w:tab w:val="right" w:pos="9031"/>
      </w:tabs>
      <w:adjustRightInd w:val="0"/>
      <w:spacing w:before="200" w:after="200" w:line="240" w:lineRule="auto"/>
      <w:ind w:firstLine="480"/>
      <w:jc w:val="both"/>
    </w:pPr>
    <w:rPr>
      <w:rFonts w:ascii="Times New Roman" w:hAnsi="Times New Roman" w:eastAsia="宋体" w:cs="Times New Roman"/>
      <w:szCs w:val="24"/>
      <w:lang w:val="en-US" w:bidi="ar-SA"/>
    </w:rPr>
  </w:style>
  <w:style w:type="paragraph" w:customStyle="1" w:styleId="88">
    <w:name w:val="！正文3"/>
    <w:basedOn w:val="1"/>
    <w:qFormat/>
    <w:uiPriority w:val="0"/>
    <w:pPr>
      <w:ind w:firstLine="418"/>
    </w:pPr>
    <w:rPr>
      <w:color w:val="4F6228"/>
    </w:rPr>
  </w:style>
  <w:style w:type="character" w:customStyle="1" w:styleId="89">
    <w:name w:val="未处理的提及2"/>
    <w:basedOn w:val="40"/>
    <w:semiHidden/>
    <w:unhideWhenUsed/>
    <w:qFormat/>
    <w:uiPriority w:val="99"/>
    <w:rPr>
      <w:color w:val="605E5C"/>
      <w:shd w:val="clear" w:color="auto" w:fill="E1DFDD"/>
    </w:rPr>
  </w:style>
  <w:style w:type="character" w:customStyle="1" w:styleId="90">
    <w:name w:val="font71"/>
    <w:basedOn w:val="40"/>
    <w:qFormat/>
    <w:uiPriority w:val="0"/>
    <w:rPr>
      <w:rFonts w:hint="eastAsia" w:ascii="宋体" w:hAnsi="宋体" w:eastAsia="宋体" w:cs="宋体"/>
      <w:color w:val="000000"/>
      <w:sz w:val="20"/>
      <w:szCs w:val="20"/>
      <w:u w:val="none"/>
    </w:rPr>
  </w:style>
  <w:style w:type="character" w:customStyle="1" w:styleId="91">
    <w:name w:val="font51"/>
    <w:basedOn w:val="40"/>
    <w:qFormat/>
    <w:uiPriority w:val="0"/>
    <w:rPr>
      <w:rFonts w:hint="eastAsia" w:ascii="宋体" w:hAnsi="宋体" w:eastAsia="宋体" w:cs="宋体"/>
      <w:color w:val="000000"/>
      <w:sz w:val="20"/>
      <w:szCs w:val="20"/>
      <w:u w:val="none"/>
    </w:rPr>
  </w:style>
  <w:style w:type="character" w:customStyle="1" w:styleId="92">
    <w:name w:val="font81"/>
    <w:basedOn w:val="40"/>
    <w:qFormat/>
    <w:uiPriority w:val="0"/>
    <w:rPr>
      <w:rFonts w:hint="default" w:ascii="Times New Roman" w:hAnsi="Times New Roman" w:cs="Times New Roman"/>
      <w:color w:val="000000"/>
      <w:sz w:val="20"/>
      <w:szCs w:val="20"/>
      <w:u w:val="none"/>
    </w:rPr>
  </w:style>
  <w:style w:type="character" w:customStyle="1" w:styleId="93">
    <w:name w:val="font61"/>
    <w:basedOn w:val="40"/>
    <w:qFormat/>
    <w:uiPriority w:val="0"/>
    <w:rPr>
      <w:rFonts w:hint="eastAsia" w:ascii="仿宋_GB2312" w:eastAsia="仿宋_GB2312" w:cs="仿宋_GB2312"/>
      <w:color w:val="000000"/>
      <w:sz w:val="20"/>
      <w:szCs w:val="20"/>
      <w:u w:val="none"/>
    </w:rPr>
  </w:style>
  <w:style w:type="character" w:customStyle="1" w:styleId="94">
    <w:name w:val="font91"/>
    <w:basedOn w:val="40"/>
    <w:qFormat/>
    <w:uiPriority w:val="0"/>
    <w:rPr>
      <w:rFonts w:hint="eastAsia" w:ascii="宋体" w:hAnsi="宋体" w:eastAsia="宋体" w:cs="宋体"/>
      <w:color w:val="000000"/>
      <w:sz w:val="20"/>
      <w:szCs w:val="20"/>
      <w:u w:val="none"/>
    </w:rPr>
  </w:style>
  <w:style w:type="character" w:customStyle="1" w:styleId="95">
    <w:name w:val="font31"/>
    <w:basedOn w:val="40"/>
    <w:qFormat/>
    <w:uiPriority w:val="0"/>
    <w:rPr>
      <w:rFonts w:hint="eastAsia" w:ascii="仿宋_GB2312" w:eastAsia="仿宋_GB2312" w:cs="仿宋_GB2312"/>
      <w:color w:val="000000"/>
      <w:sz w:val="20"/>
      <w:szCs w:val="20"/>
      <w:u w:val="none"/>
    </w:rPr>
  </w:style>
  <w:style w:type="character" w:customStyle="1" w:styleId="96">
    <w:name w:val="font41"/>
    <w:basedOn w:val="40"/>
    <w:qFormat/>
    <w:uiPriority w:val="0"/>
    <w:rPr>
      <w:rFonts w:hint="eastAsia" w:ascii="宋体" w:hAnsi="宋体" w:eastAsia="宋体" w:cs="宋体"/>
      <w:color w:val="000000"/>
      <w:sz w:val="18"/>
      <w:szCs w:val="18"/>
      <w:u w:val="none"/>
    </w:rPr>
  </w:style>
  <w:style w:type="paragraph" w:customStyle="1" w:styleId="97">
    <w:name w:val="正文首行缩进（绿盟科技）"/>
    <w:basedOn w:val="98"/>
    <w:autoRedefine/>
    <w:qFormat/>
    <w:uiPriority w:val="0"/>
    <w:pPr>
      <w:spacing w:after="50"/>
      <w:ind w:firstLine="200" w:firstLineChars="200"/>
    </w:pPr>
  </w:style>
  <w:style w:type="paragraph" w:customStyle="1" w:styleId="98">
    <w:name w:val="正文（绿盟科技）"/>
    <w:autoRedefine/>
    <w:qFormat/>
    <w:uiPriority w:val="0"/>
    <w:pPr>
      <w:spacing w:line="300" w:lineRule="auto"/>
    </w:pPr>
    <w:rPr>
      <w:rFonts w:ascii="Arial" w:hAnsi="Arial" w:eastAsia="宋体" w:cs="Times New Roman"/>
      <w:sz w:val="21"/>
      <w:szCs w:val="21"/>
      <w:lang w:val="en-US" w:eastAsia="zh-CN" w:bidi="ar-SA"/>
    </w:rPr>
  </w:style>
  <w:style w:type="paragraph" w:customStyle="1" w:styleId="99">
    <w:name w:val="_Style 13"/>
    <w:qFormat/>
    <w:uiPriority w:val="0"/>
    <w:pPr>
      <w:spacing w:before="120" w:after="120" w:line="288" w:lineRule="auto"/>
    </w:pPr>
    <w:rPr>
      <w:rFonts w:ascii="Arial" w:hAnsi="Arial" w:eastAsia="等线" w:cs="Arial"/>
      <w:sz w:val="22"/>
      <w:szCs w:val="22"/>
      <w:lang w:val="en-US" w:eastAsia="zh-CN" w:bidi="ar-SA"/>
    </w:rPr>
  </w:style>
  <w:style w:type="paragraph" w:customStyle="1" w:styleId="100">
    <w:name w:val="技术文档正文"/>
    <w:basedOn w:val="1"/>
    <w:qFormat/>
    <w:uiPriority w:val="0"/>
    <w:pPr>
      <w:spacing w:line="360" w:lineRule="auto"/>
      <w:ind w:firstLine="200"/>
    </w:pPr>
    <w:rPr>
      <w:rFonts w:eastAsia="宋体"/>
    </w:rPr>
  </w:style>
  <w:style w:type="paragraph" w:customStyle="1" w:styleId="101">
    <w:name w:val="表格文字（深信服科技）"/>
    <w:basedOn w:val="1"/>
    <w:qFormat/>
    <w:uiPriority w:val="0"/>
    <w:pPr>
      <w:spacing w:line="360" w:lineRule="auto"/>
      <w:jc w:val="center"/>
    </w:pPr>
    <w:rPr>
      <w:rFonts w:ascii="Times New Roman" w:hAnsi="Times New Roman" w:eastAsia="宋体"/>
      <w:sz w:val="21"/>
    </w:rPr>
  </w:style>
  <w:style w:type="paragraph" w:customStyle="1" w:styleId="102">
    <w:name w:val="正文（深信服科技）"/>
    <w:qFormat/>
    <w:uiPriority w:val="0"/>
    <w:pPr>
      <w:adjustRightInd w:val="0"/>
      <w:snapToGrid w:val="0"/>
      <w:spacing w:line="360" w:lineRule="auto"/>
      <w:ind w:firstLine="480" w:firstLineChars="200"/>
      <w:jc w:val="both"/>
    </w:pPr>
    <w:rPr>
      <w:rFonts w:ascii="Times New Roman" w:hAnsi="Times New Roman" w:eastAsia="宋体" w:cs="Times New Roman"/>
      <w:sz w:val="24"/>
      <w:szCs w:val="21"/>
      <w:lang w:val="en-US" w:eastAsia="zh-CN" w:bidi="ar-SA"/>
    </w:rPr>
  </w:style>
  <w:style w:type="paragraph" w:customStyle="1" w:styleId="103">
    <w:name w:val="Item List"/>
    <w:autoRedefine/>
    <w:qFormat/>
    <w:uiPriority w:val="0"/>
    <w:pPr>
      <w:numPr>
        <w:ilvl w:val="0"/>
        <w:numId w:val="4"/>
      </w:numPr>
      <w:adjustRightInd w:val="0"/>
      <w:snapToGrid w:val="0"/>
      <w:spacing w:before="80" w:after="80" w:line="240" w:lineRule="atLeast"/>
    </w:pPr>
    <w:rPr>
      <w:rFonts w:hint="eastAsia" w:ascii="Times New Roman" w:hAnsi="Times New Roman" w:eastAsia="宋体" w:cs="Arial"/>
      <w:kern w:val="2"/>
      <w:sz w:val="21"/>
      <w:szCs w:val="21"/>
      <w:lang w:val="en-US" w:eastAsia="zh-CN" w:bidi="ar-SA"/>
    </w:rPr>
  </w:style>
  <w:style w:type="paragraph" w:customStyle="1" w:styleId="104">
    <w:name w:val="Table Description"/>
    <w:basedOn w:val="1"/>
    <w:next w:val="1"/>
    <w:autoRedefine/>
    <w:qFormat/>
    <w:uiPriority w:val="0"/>
    <w:pPr>
      <w:keepNext/>
      <w:numPr>
        <w:ilvl w:val="8"/>
        <w:numId w:val="5"/>
      </w:numPr>
      <w:spacing w:before="320" w:after="80"/>
    </w:pPr>
    <w:rPr>
      <w:rFonts w:eastAsia="黑体"/>
      <w:spacing w:val="-4"/>
    </w:rPr>
  </w:style>
  <w:style w:type="paragraph" w:customStyle="1" w:styleId="105">
    <w:name w:val="Table Heading"/>
    <w:basedOn w:val="1"/>
    <w:autoRedefine/>
    <w:qFormat/>
    <w:uiPriority w:val="0"/>
    <w:pPr>
      <w:spacing w:before="80" w:after="80"/>
    </w:pPr>
    <w:rPr>
      <w:rFonts w:ascii="Book Antiqua" w:hAnsi="Book Antiqua" w:eastAsia="黑体" w:cs="Book Antiqua"/>
      <w:bCs/>
      <w:snapToGrid w:val="0"/>
    </w:rPr>
  </w:style>
  <w:style w:type="paragraph" w:customStyle="1" w:styleId="106">
    <w:name w:val="Table Text"/>
    <w:basedOn w:val="1"/>
    <w:autoRedefine/>
    <w:qFormat/>
    <w:uiPriority w:val="0"/>
    <w:pPr>
      <w:spacing w:before="80" w:after="80"/>
    </w:pPr>
    <w:rPr>
      <w:snapToGrid w:val="0"/>
    </w:rPr>
  </w:style>
  <w:style w:type="paragraph" w:customStyle="1" w:styleId="107">
    <w:name w:val="Item List in Table"/>
    <w:basedOn w:val="1"/>
    <w:autoRedefine/>
    <w:qFormat/>
    <w:uiPriority w:val="0"/>
    <w:pPr>
      <w:numPr>
        <w:ilvl w:val="0"/>
        <w:numId w:val="6"/>
      </w:numPr>
      <w:tabs>
        <w:tab w:val="left" w:pos="284"/>
      </w:tabs>
      <w:spacing w:before="80" w:after="80"/>
    </w:pPr>
  </w:style>
  <w:style w:type="paragraph" w:customStyle="1" w:styleId="108">
    <w:name w:val="Sub Item List in Table"/>
    <w:basedOn w:val="1"/>
    <w:autoRedefine/>
    <w:qFormat/>
    <w:uiPriority w:val="0"/>
    <w:pPr>
      <w:numPr>
        <w:ilvl w:val="2"/>
        <w:numId w:val="6"/>
      </w:numPr>
      <w:spacing w:before="80" w:after="80"/>
    </w:pPr>
  </w:style>
  <w:style w:type="paragraph" w:customStyle="1" w:styleId="109">
    <w:name w:val="Item List Text"/>
    <w:autoRedefine/>
    <w:qFormat/>
    <w:uiPriority w:val="0"/>
    <w:pPr>
      <w:adjustRightInd w:val="0"/>
      <w:snapToGrid w:val="0"/>
      <w:spacing w:before="80" w:after="80" w:line="240" w:lineRule="atLeast"/>
      <w:ind w:left="2126"/>
    </w:pPr>
    <w:rPr>
      <w:rFonts w:hint="eastAsia" w:ascii="Times New Roman" w:hAnsi="Times New Roman" w:eastAsia="宋体" w:cs="Times New Roman"/>
      <w:kern w:val="2"/>
      <w:sz w:val="21"/>
      <w:szCs w:val="21"/>
      <w:lang w:val="en-US" w:eastAsia="zh-CN" w:bidi="ar-SA"/>
    </w:rPr>
  </w:style>
  <w:style w:type="paragraph" w:customStyle="1" w:styleId="110">
    <w:name w:val="Sub Item List"/>
    <w:basedOn w:val="1"/>
    <w:autoRedefine/>
    <w:qFormat/>
    <w:uiPriority w:val="0"/>
    <w:pPr>
      <w:numPr>
        <w:ilvl w:val="0"/>
        <w:numId w:val="7"/>
      </w:numPr>
      <w:spacing w:before="80" w:after="80"/>
    </w:pPr>
  </w:style>
  <w:style w:type="paragraph" w:customStyle="1" w:styleId="111">
    <w:name w:val="Figure Description"/>
    <w:next w:val="112"/>
    <w:autoRedefine/>
    <w:qFormat/>
    <w:uiPriority w:val="0"/>
    <w:pPr>
      <w:keepNext/>
      <w:numPr>
        <w:ilvl w:val="7"/>
        <w:numId w:val="5"/>
      </w:numPr>
      <w:adjustRightInd w:val="0"/>
      <w:snapToGrid w:val="0"/>
      <w:spacing w:before="320" w:after="80" w:line="240" w:lineRule="atLeast"/>
    </w:pPr>
    <w:rPr>
      <w:rFonts w:ascii="Times New Roman" w:hAnsi="Times New Roman" w:eastAsia="黑体" w:cs="Arial"/>
      <w:spacing w:val="-4"/>
      <w:kern w:val="2"/>
      <w:sz w:val="21"/>
      <w:szCs w:val="21"/>
      <w:lang w:val="en-US" w:eastAsia="zh-CN" w:bidi="ar-SA"/>
    </w:rPr>
  </w:style>
  <w:style w:type="paragraph" w:customStyle="1" w:styleId="112">
    <w:name w:val="Figure"/>
    <w:basedOn w:val="1"/>
    <w:next w:val="1"/>
    <w:qFormat/>
    <w:uiPriority w:val="0"/>
    <w:pPr>
      <w:keepNext/>
    </w:pPr>
  </w:style>
  <w:style w:type="paragraph" w:customStyle="1" w:styleId="113">
    <w:name w:val="msonormal"/>
    <w:basedOn w:val="1"/>
    <w:qFormat/>
    <w:uiPriority w:val="0"/>
    <w:pPr>
      <w:widowControl/>
      <w:autoSpaceDE/>
      <w:autoSpaceDN/>
      <w:spacing w:before="100" w:beforeAutospacing="1" w:after="100" w:afterAutospacing="1" w:line="240" w:lineRule="auto"/>
      <w:ind w:firstLine="0" w:firstLineChars="0"/>
    </w:pPr>
    <w:rPr>
      <w:rFonts w:eastAsia="宋体"/>
      <w:szCs w:val="24"/>
      <w:lang w:val="en-US" w:bidi="ar-SA"/>
    </w:rPr>
  </w:style>
  <w:style w:type="paragraph" w:customStyle="1" w:styleId="114">
    <w:name w:val="font0"/>
    <w:basedOn w:val="1"/>
    <w:qFormat/>
    <w:uiPriority w:val="0"/>
    <w:pPr>
      <w:widowControl/>
      <w:autoSpaceDE/>
      <w:autoSpaceDN/>
      <w:spacing w:before="100" w:beforeAutospacing="1" w:after="100" w:afterAutospacing="1" w:line="240" w:lineRule="auto"/>
      <w:ind w:firstLine="0" w:firstLineChars="0"/>
    </w:pPr>
    <w:rPr>
      <w:rFonts w:eastAsia="宋体"/>
      <w:color w:val="000000"/>
      <w:sz w:val="22"/>
      <w:lang w:val="en-US" w:bidi="ar-SA"/>
    </w:rPr>
  </w:style>
  <w:style w:type="paragraph" w:customStyle="1" w:styleId="115">
    <w:name w:val="font1"/>
    <w:basedOn w:val="1"/>
    <w:qFormat/>
    <w:uiPriority w:val="0"/>
    <w:pPr>
      <w:widowControl/>
      <w:autoSpaceDE/>
      <w:autoSpaceDN/>
      <w:spacing w:before="100" w:beforeAutospacing="1" w:after="100" w:afterAutospacing="1" w:line="240" w:lineRule="auto"/>
      <w:ind w:firstLine="0" w:firstLineChars="0"/>
    </w:pPr>
    <w:rPr>
      <w:rFonts w:ascii="仿宋_GB2312"/>
      <w:color w:val="000000"/>
      <w:sz w:val="22"/>
      <w:lang w:val="en-US" w:bidi="ar-SA"/>
    </w:rPr>
  </w:style>
  <w:style w:type="paragraph" w:customStyle="1" w:styleId="116">
    <w:name w:val="font2"/>
    <w:basedOn w:val="1"/>
    <w:qFormat/>
    <w:uiPriority w:val="0"/>
    <w:pPr>
      <w:widowControl/>
      <w:autoSpaceDE/>
      <w:autoSpaceDN/>
      <w:spacing w:before="100" w:beforeAutospacing="1" w:after="100" w:afterAutospacing="1" w:line="240" w:lineRule="auto"/>
      <w:ind w:firstLine="0" w:firstLineChars="0"/>
    </w:pPr>
    <w:rPr>
      <w:rFonts w:ascii="仿宋_GB2312"/>
      <w:b/>
      <w:bCs/>
      <w:color w:val="000000"/>
      <w:sz w:val="22"/>
      <w:lang w:val="en-US" w:bidi="ar-SA"/>
    </w:rPr>
  </w:style>
  <w:style w:type="paragraph" w:customStyle="1" w:styleId="117">
    <w:name w:val="font3"/>
    <w:basedOn w:val="1"/>
    <w:qFormat/>
    <w:uiPriority w:val="0"/>
    <w:pPr>
      <w:widowControl/>
      <w:autoSpaceDE/>
      <w:autoSpaceDN/>
      <w:spacing w:before="100" w:beforeAutospacing="1" w:after="100" w:afterAutospacing="1" w:line="240" w:lineRule="auto"/>
      <w:ind w:firstLine="0" w:firstLineChars="0"/>
    </w:pPr>
    <w:rPr>
      <w:rFonts w:ascii="仿宋_GB2312"/>
      <w:b/>
      <w:bCs/>
      <w:color w:val="000000"/>
      <w:sz w:val="28"/>
      <w:szCs w:val="28"/>
      <w:lang w:val="en-US" w:bidi="ar-SA"/>
    </w:rPr>
  </w:style>
  <w:style w:type="paragraph" w:customStyle="1" w:styleId="118">
    <w:name w:val="font4"/>
    <w:basedOn w:val="1"/>
    <w:qFormat/>
    <w:uiPriority w:val="0"/>
    <w:pPr>
      <w:widowControl/>
      <w:autoSpaceDE/>
      <w:autoSpaceDN/>
      <w:spacing w:before="100" w:beforeAutospacing="1" w:after="100" w:afterAutospacing="1" w:line="240" w:lineRule="auto"/>
      <w:ind w:firstLine="0" w:firstLineChars="0"/>
    </w:pPr>
    <w:rPr>
      <w:rFonts w:ascii="仿宋_GB2312"/>
      <w:b/>
      <w:bCs/>
      <w:color w:val="000000"/>
      <w:sz w:val="20"/>
      <w:szCs w:val="20"/>
      <w:lang w:val="en-US" w:bidi="ar-SA"/>
    </w:rPr>
  </w:style>
  <w:style w:type="paragraph" w:customStyle="1" w:styleId="119">
    <w:name w:val="font5"/>
    <w:basedOn w:val="1"/>
    <w:qFormat/>
    <w:uiPriority w:val="0"/>
    <w:pPr>
      <w:widowControl/>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20">
    <w:name w:val="et2"/>
    <w:basedOn w:val="1"/>
    <w:qFormat/>
    <w:uiPriority w:val="0"/>
    <w:pPr>
      <w:widowControl/>
      <w:autoSpaceDE/>
      <w:autoSpaceDN/>
      <w:spacing w:before="100" w:beforeAutospacing="1" w:after="100" w:afterAutospacing="1" w:line="240" w:lineRule="auto"/>
      <w:ind w:firstLine="0" w:firstLineChars="0"/>
    </w:pPr>
    <w:rPr>
      <w:rFonts w:ascii="仿宋_GB2312"/>
      <w:color w:val="000000"/>
      <w:szCs w:val="24"/>
      <w:lang w:val="en-US" w:bidi="ar-SA"/>
    </w:rPr>
  </w:style>
  <w:style w:type="paragraph" w:customStyle="1" w:styleId="121">
    <w:name w:val="et3"/>
    <w:basedOn w:val="1"/>
    <w:qFormat/>
    <w:uiPriority w:val="0"/>
    <w:pPr>
      <w:widowControl/>
      <w:autoSpaceDE/>
      <w:autoSpaceDN/>
      <w:spacing w:before="100" w:beforeAutospacing="1" w:after="100" w:afterAutospacing="1" w:line="240" w:lineRule="auto"/>
      <w:ind w:firstLine="0" w:firstLineChars="0"/>
    </w:pPr>
    <w:rPr>
      <w:rFonts w:ascii="仿宋_GB2312"/>
      <w:b/>
      <w:bCs/>
      <w:color w:val="000000"/>
      <w:szCs w:val="24"/>
      <w:lang w:val="en-US" w:bidi="ar-SA"/>
    </w:rPr>
  </w:style>
  <w:style w:type="paragraph" w:customStyle="1" w:styleId="122">
    <w:name w:val="et4"/>
    <w:basedOn w:val="1"/>
    <w:qFormat/>
    <w:uiPriority w:val="0"/>
    <w:pPr>
      <w:widowControl/>
      <w:pBdr>
        <w:top w:val="single" w:color="000000" w:sz="8" w:space="0"/>
        <w:left w:val="single" w:color="000000" w:sz="8"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8"/>
      <w:szCs w:val="28"/>
      <w:lang w:val="en-US" w:bidi="ar-SA"/>
    </w:rPr>
  </w:style>
  <w:style w:type="paragraph" w:customStyle="1" w:styleId="123">
    <w:name w:val="et5"/>
    <w:basedOn w:val="1"/>
    <w:qFormat/>
    <w:uiPriority w:val="0"/>
    <w:pPr>
      <w:widowControl/>
      <w:pBdr>
        <w:top w:val="single" w:color="000000" w:sz="8"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8"/>
      <w:szCs w:val="28"/>
      <w:lang w:val="en-US" w:bidi="ar-SA"/>
    </w:rPr>
  </w:style>
  <w:style w:type="paragraph" w:customStyle="1" w:styleId="124">
    <w:name w:val="et6"/>
    <w:basedOn w:val="1"/>
    <w:qFormat/>
    <w:uiPriority w:val="0"/>
    <w:pPr>
      <w:widowControl/>
      <w:pBdr>
        <w:top w:val="single" w:color="000000" w:sz="8" w:space="0"/>
        <w:left w:val="single" w:color="000000" w:sz="4" w:space="0"/>
        <w:bottom w:val="single" w:color="000000" w:sz="4" w:space="0"/>
        <w:right w:val="single" w:color="000000" w:sz="8" w:space="0"/>
      </w:pBdr>
      <w:autoSpaceDE/>
      <w:autoSpaceDN/>
      <w:spacing w:before="100" w:beforeAutospacing="1" w:after="100" w:afterAutospacing="1" w:line="240" w:lineRule="auto"/>
      <w:ind w:firstLine="0" w:firstLineChars="0"/>
      <w:jc w:val="center"/>
    </w:pPr>
    <w:rPr>
      <w:rFonts w:ascii="仿宋_GB2312"/>
      <w:b/>
      <w:bCs/>
      <w:color w:val="000000"/>
      <w:sz w:val="28"/>
      <w:szCs w:val="28"/>
      <w:lang w:val="en-US" w:bidi="ar-SA"/>
    </w:rPr>
  </w:style>
  <w:style w:type="paragraph" w:customStyle="1" w:styleId="125">
    <w:name w:val="et7"/>
    <w:basedOn w:val="1"/>
    <w:qFormat/>
    <w:uiPriority w:val="0"/>
    <w:pPr>
      <w:widowControl/>
      <w:pBdr>
        <w:top w:val="single" w:color="000000" w:sz="4" w:space="0"/>
        <w:left w:val="single" w:color="000000" w:sz="8"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26">
    <w:name w:val="et8"/>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27">
    <w:name w:val="et9"/>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color w:val="000000"/>
      <w:sz w:val="20"/>
      <w:szCs w:val="20"/>
      <w:lang w:val="en-US" w:bidi="ar-SA"/>
    </w:rPr>
  </w:style>
  <w:style w:type="paragraph" w:customStyle="1" w:styleId="128">
    <w:name w:val="et10"/>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29">
    <w:name w:val="et11"/>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30">
    <w:name w:val="et12"/>
    <w:basedOn w:val="1"/>
    <w:qFormat/>
    <w:uiPriority w:val="0"/>
    <w:pPr>
      <w:widowControl/>
      <w:pBdr>
        <w:top w:val="single" w:color="000000" w:sz="4" w:space="0"/>
        <w:left w:val="single" w:color="000000" w:sz="4" w:space="0"/>
        <w:bottom w:val="single" w:color="000000" w:sz="4" w:space="0"/>
        <w:right w:val="single" w:color="000000" w:sz="8"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31">
    <w:name w:val="et13"/>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32">
    <w:name w:val="et14"/>
    <w:basedOn w:val="1"/>
    <w:qFormat/>
    <w:uiPriority w:val="0"/>
    <w:pPr>
      <w:widowControl/>
      <w:pBdr>
        <w:top w:val="single" w:color="000000" w:sz="4" w:space="0"/>
        <w:left w:val="single" w:color="000000" w:sz="4" w:space="0"/>
        <w:bottom w:val="single" w:color="000000" w:sz="4" w:space="0"/>
        <w:right w:val="single" w:color="000000" w:sz="8"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33">
    <w:name w:val="et15"/>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34">
    <w:name w:val="et16"/>
    <w:basedOn w:val="1"/>
    <w:qFormat/>
    <w:uiPriority w:val="0"/>
    <w:pPr>
      <w:widowControl/>
      <w:pBdr>
        <w:top w:val="single" w:color="000000" w:sz="4" w:space="0"/>
        <w:left w:val="single" w:color="000000" w:sz="8"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35">
    <w:name w:val="et17"/>
    <w:basedOn w:val="1"/>
    <w:qFormat/>
    <w:uiPriority w:val="0"/>
    <w:pPr>
      <w:widowControl/>
      <w:pBdr>
        <w:top w:val="single" w:color="000000" w:sz="4" w:space="0"/>
        <w:left w:val="single" w:color="000000" w:sz="4" w:space="0"/>
        <w:bottom w:val="single" w:color="000000" w:sz="4" w:space="0"/>
        <w:right w:val="single" w:color="000000" w:sz="8"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36">
    <w:name w:val="et18"/>
    <w:basedOn w:val="1"/>
    <w:qFormat/>
    <w:uiPriority w:val="0"/>
    <w:pPr>
      <w:widowControl/>
      <w:pBdr>
        <w:top w:val="single" w:color="000000" w:sz="4" w:space="0"/>
        <w:left w:val="single" w:color="000000" w:sz="8"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color w:val="000000"/>
      <w:sz w:val="20"/>
      <w:szCs w:val="20"/>
      <w:lang w:val="en-US" w:bidi="ar-SA"/>
    </w:rPr>
  </w:style>
  <w:style w:type="paragraph" w:customStyle="1" w:styleId="137">
    <w:name w:val="et19"/>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color w:val="000000"/>
      <w:sz w:val="20"/>
      <w:szCs w:val="20"/>
      <w:lang w:val="en-US" w:bidi="ar-SA"/>
    </w:rPr>
  </w:style>
  <w:style w:type="paragraph" w:customStyle="1" w:styleId="138">
    <w:name w:val="et20"/>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39">
    <w:name w:val="et21"/>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ascii="仿宋_GB2312"/>
      <w:color w:val="000000"/>
      <w:sz w:val="20"/>
      <w:szCs w:val="20"/>
      <w:lang w:val="en-US" w:bidi="ar-SA"/>
    </w:rPr>
  </w:style>
  <w:style w:type="paragraph" w:customStyle="1" w:styleId="140">
    <w:name w:val="et22"/>
    <w:basedOn w:val="1"/>
    <w:qFormat/>
    <w:uiPriority w:val="0"/>
    <w:pPr>
      <w:widowControl/>
      <w:pBdr>
        <w:top w:val="single" w:color="000000" w:sz="4" w:space="0"/>
        <w:left w:val="single" w:color="000000" w:sz="4" w:space="0"/>
        <w:bottom w:val="single" w:color="000000" w:sz="4" w:space="0"/>
        <w:right w:val="single" w:color="000000" w:sz="8"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41">
    <w:name w:val="et23"/>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42">
    <w:name w:val="et25"/>
    <w:basedOn w:val="1"/>
    <w:qFormat/>
    <w:uiPriority w:val="0"/>
    <w:pPr>
      <w:widowControl/>
      <w:pBdr>
        <w:top w:val="single" w:color="000000" w:sz="4" w:space="0"/>
        <w:left w:val="single" w:color="000000" w:sz="4" w:space="0"/>
        <w:bottom w:val="single" w:color="000000" w:sz="4" w:space="0"/>
        <w:right w:val="single" w:color="000000" w:sz="8" w:space="0"/>
      </w:pBdr>
      <w:autoSpaceDE/>
      <w:autoSpaceDN/>
      <w:spacing w:before="100" w:beforeAutospacing="1" w:after="100" w:afterAutospacing="1" w:line="240" w:lineRule="auto"/>
      <w:ind w:firstLine="0" w:firstLineChars="0"/>
    </w:pPr>
    <w:rPr>
      <w:rFonts w:ascii="仿宋_GB2312"/>
      <w:color w:val="000000"/>
      <w:sz w:val="20"/>
      <w:szCs w:val="20"/>
      <w:lang w:val="en-US" w:bidi="ar-SA"/>
    </w:rPr>
  </w:style>
  <w:style w:type="paragraph" w:customStyle="1" w:styleId="143">
    <w:name w:val="et26"/>
    <w:basedOn w:val="1"/>
    <w:qFormat/>
    <w:uiPriority w:val="0"/>
    <w:pPr>
      <w:widowControl/>
      <w:pBdr>
        <w:top w:val="single" w:color="000000" w:sz="4" w:space="0"/>
        <w:left w:val="single" w:color="000000" w:sz="8" w:space="0"/>
        <w:bottom w:val="single" w:color="000000" w:sz="8"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44">
    <w:name w:val="et27"/>
    <w:basedOn w:val="1"/>
    <w:qFormat/>
    <w:uiPriority w:val="0"/>
    <w:pPr>
      <w:widowControl/>
      <w:pBdr>
        <w:top w:val="single" w:color="000000" w:sz="4" w:space="0"/>
        <w:left w:val="single" w:color="000000" w:sz="4" w:space="0"/>
        <w:bottom w:val="single" w:color="000000" w:sz="8"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45">
    <w:name w:val="et28"/>
    <w:basedOn w:val="1"/>
    <w:qFormat/>
    <w:uiPriority w:val="0"/>
    <w:pPr>
      <w:widowControl/>
      <w:pBdr>
        <w:top w:val="single" w:color="000000" w:sz="4" w:space="0"/>
        <w:left w:val="single" w:color="000000" w:sz="4" w:space="0"/>
        <w:bottom w:val="single" w:color="000000" w:sz="8" w:space="0"/>
        <w:right w:val="single" w:color="000000" w:sz="4" w:space="0"/>
      </w:pBdr>
      <w:autoSpaceDE/>
      <w:autoSpaceDN/>
      <w:spacing w:before="100" w:beforeAutospacing="1" w:after="100" w:afterAutospacing="1" w:line="240" w:lineRule="auto"/>
      <w:ind w:firstLine="0" w:firstLineChars="0"/>
      <w:jc w:val="center"/>
    </w:pPr>
    <w:rPr>
      <w:rFonts w:ascii="仿宋_GB2312"/>
      <w:b/>
      <w:bCs/>
      <w:color w:val="000000"/>
      <w:sz w:val="20"/>
      <w:szCs w:val="20"/>
      <w:lang w:val="en-US" w:bidi="ar-SA"/>
    </w:rPr>
  </w:style>
  <w:style w:type="paragraph" w:customStyle="1" w:styleId="146">
    <w:name w:val="et29"/>
    <w:basedOn w:val="1"/>
    <w:qFormat/>
    <w:uiPriority w:val="0"/>
    <w:pPr>
      <w:widowControl/>
      <w:pBdr>
        <w:top w:val="single" w:color="000000" w:sz="4" w:space="0"/>
        <w:left w:val="single" w:color="000000" w:sz="4" w:space="0"/>
        <w:bottom w:val="single" w:color="000000" w:sz="8" w:space="0"/>
        <w:right w:val="single" w:color="000000" w:sz="8" w:space="0"/>
      </w:pBdr>
      <w:autoSpaceDE/>
      <w:autoSpaceDN/>
      <w:spacing w:before="100" w:beforeAutospacing="1" w:after="100" w:afterAutospacing="1" w:line="240" w:lineRule="auto"/>
      <w:ind w:firstLine="0" w:firstLineChars="0"/>
    </w:pPr>
    <w:rPr>
      <w:rFonts w:ascii="仿宋_GB2312"/>
      <w:b/>
      <w:bCs/>
      <w:color w:val="000000"/>
      <w:sz w:val="20"/>
      <w:szCs w:val="20"/>
      <w:lang w:val="en-US" w:bidi="ar-SA"/>
    </w:rPr>
  </w:style>
  <w:style w:type="character" w:customStyle="1" w:styleId="147">
    <w:name w:val="标题 8 字符"/>
    <w:basedOn w:val="40"/>
    <w:link w:val="9"/>
    <w:qFormat/>
    <w:uiPriority w:val="0"/>
    <w:rPr>
      <w:rFonts w:ascii="Arial" w:hAnsi="Arial" w:eastAsia="黑体" w:cs="宋体"/>
      <w:sz w:val="24"/>
      <w:szCs w:val="22"/>
      <w:lang w:val="zh-CN" w:bidi="zh-CN"/>
    </w:rPr>
  </w:style>
  <w:style w:type="character" w:customStyle="1" w:styleId="148">
    <w:name w:val="标题 9 字符"/>
    <w:basedOn w:val="40"/>
    <w:link w:val="10"/>
    <w:semiHidden/>
    <w:qFormat/>
    <w:uiPriority w:val="0"/>
    <w:rPr>
      <w:rFonts w:ascii="Arial" w:hAnsi="Arial" w:eastAsia="黑体" w:cs="宋体"/>
      <w:sz w:val="21"/>
      <w:szCs w:val="22"/>
      <w:lang w:val="zh-CN" w:bidi="zh-CN"/>
    </w:rPr>
  </w:style>
  <w:style w:type="character" w:customStyle="1" w:styleId="149">
    <w:name w:val="批注文字 字符"/>
    <w:basedOn w:val="40"/>
    <w:link w:val="17"/>
    <w:semiHidden/>
    <w:qFormat/>
    <w:uiPriority w:val="99"/>
    <w:rPr>
      <w:rFonts w:ascii="宋体" w:hAnsi="宋体" w:eastAsia="仿宋_GB2312" w:cs="宋体"/>
      <w:sz w:val="24"/>
      <w:szCs w:val="22"/>
      <w:lang w:val="zh-CN" w:bidi="zh-CN"/>
    </w:rPr>
  </w:style>
  <w:style w:type="character" w:customStyle="1" w:styleId="150">
    <w:name w:val="正文文本 字符"/>
    <w:basedOn w:val="40"/>
    <w:link w:val="18"/>
    <w:qFormat/>
    <w:uiPriority w:val="1"/>
    <w:rPr>
      <w:rFonts w:ascii="宋体" w:hAnsi="宋体" w:eastAsia="仿宋_GB2312" w:cs="宋体"/>
      <w:sz w:val="24"/>
      <w:szCs w:val="24"/>
      <w:lang w:val="zh-CN" w:bidi="zh-CN"/>
    </w:rPr>
  </w:style>
  <w:style w:type="character" w:customStyle="1" w:styleId="151">
    <w:name w:val="正文文本首行缩进 字符"/>
    <w:basedOn w:val="150"/>
    <w:link w:val="37"/>
    <w:qFormat/>
    <w:uiPriority w:val="99"/>
    <w:rPr>
      <w:rFonts w:ascii="宋体" w:hAnsi="宋体" w:eastAsia="仿宋_GB2312" w:cs="宋体"/>
      <w:kern w:val="2"/>
      <w:sz w:val="24"/>
      <w:szCs w:val="24"/>
      <w:lang w:val="zh-CN" w:bidi="zh-CN"/>
    </w:rPr>
  </w:style>
  <w:style w:type="character" w:customStyle="1" w:styleId="152">
    <w:name w:val="正文文本缩进 字符"/>
    <w:basedOn w:val="40"/>
    <w:link w:val="19"/>
    <w:qFormat/>
    <w:uiPriority w:val="0"/>
    <w:rPr>
      <w:rFonts w:ascii="宋体" w:hAnsi="宋体" w:eastAsia="仿宋_GB2312" w:cs="宋体"/>
      <w:sz w:val="24"/>
      <w:szCs w:val="22"/>
      <w:lang w:val="zh-CN" w:bidi="zh-CN"/>
    </w:rPr>
  </w:style>
  <w:style w:type="character" w:customStyle="1" w:styleId="153">
    <w:name w:val="正文文本首行缩进 2 字符"/>
    <w:basedOn w:val="152"/>
    <w:link w:val="20"/>
    <w:qFormat/>
    <w:uiPriority w:val="0"/>
    <w:rPr>
      <w:rFonts w:ascii="Arial" w:hAnsi="Arial" w:eastAsia="仿宋_GB2312" w:cs="宋体"/>
      <w:sz w:val="24"/>
      <w:szCs w:val="22"/>
      <w:lang w:val="zh-CN" w:bidi="zh-CN"/>
    </w:rPr>
  </w:style>
  <w:style w:type="character" w:customStyle="1" w:styleId="154">
    <w:name w:val="纯文本 字符"/>
    <w:basedOn w:val="40"/>
    <w:link w:val="24"/>
    <w:qFormat/>
    <w:uiPriority w:val="0"/>
    <w:rPr>
      <w:rFonts w:ascii="宋体" w:hAnsi="Courier New" w:cs="Courier New" w:eastAsiaTheme="minorEastAsia"/>
      <w:sz w:val="21"/>
      <w:szCs w:val="21"/>
      <w:lang w:val="zh-CN" w:bidi="zh-CN"/>
    </w:rPr>
  </w:style>
  <w:style w:type="character" w:customStyle="1" w:styleId="155">
    <w:name w:val="页脚 字符"/>
    <w:basedOn w:val="40"/>
    <w:link w:val="27"/>
    <w:qFormat/>
    <w:uiPriority w:val="99"/>
    <w:rPr>
      <w:rFonts w:ascii="宋体" w:hAnsi="宋体" w:eastAsia="仿宋_GB2312" w:cs="宋体"/>
      <w:sz w:val="18"/>
      <w:szCs w:val="22"/>
      <w:lang w:val="zh-CN" w:bidi="zh-CN"/>
    </w:rPr>
  </w:style>
  <w:style w:type="character" w:customStyle="1" w:styleId="156">
    <w:name w:val="页眉 字符"/>
    <w:basedOn w:val="40"/>
    <w:link w:val="28"/>
    <w:qFormat/>
    <w:uiPriority w:val="99"/>
    <w:rPr>
      <w:rFonts w:ascii="宋体" w:hAnsi="宋体" w:eastAsia="仿宋_GB2312" w:cs="宋体"/>
      <w:sz w:val="18"/>
      <w:szCs w:val="22"/>
      <w:lang w:val="zh-CN" w:bidi="zh-CN"/>
    </w:rPr>
  </w:style>
  <w:style w:type="character" w:customStyle="1" w:styleId="157">
    <w:name w:val="HTML 预设格式 字符"/>
    <w:basedOn w:val="40"/>
    <w:link w:val="34"/>
    <w:qFormat/>
    <w:uiPriority w:val="0"/>
    <w:rPr>
      <w:rFonts w:ascii="宋体" w:hAnsi="宋体"/>
      <w:sz w:val="24"/>
      <w:szCs w:val="24"/>
    </w:rPr>
  </w:style>
  <w:style w:type="paragraph" w:customStyle="1" w:styleId="158">
    <w:name w:val="font6"/>
    <w:basedOn w:val="1"/>
    <w:qFormat/>
    <w:uiPriority w:val="0"/>
    <w:pPr>
      <w:widowControl/>
      <w:autoSpaceDE/>
      <w:autoSpaceDN/>
      <w:spacing w:before="100" w:beforeAutospacing="1" w:after="100" w:afterAutospacing="1" w:line="240" w:lineRule="auto"/>
      <w:ind w:firstLine="0" w:firstLineChars="0"/>
    </w:pPr>
    <w:rPr>
      <w:rFonts w:ascii="仿宋_GB2312"/>
      <w:color w:val="000000"/>
      <w:sz w:val="22"/>
      <w:lang w:val="en-US" w:bidi="ar-SA"/>
    </w:rPr>
  </w:style>
  <w:style w:type="paragraph" w:customStyle="1" w:styleId="159">
    <w:name w:val="font7"/>
    <w:basedOn w:val="1"/>
    <w:qFormat/>
    <w:uiPriority w:val="0"/>
    <w:pPr>
      <w:widowControl/>
      <w:autoSpaceDE/>
      <w:autoSpaceDN/>
      <w:spacing w:before="100" w:beforeAutospacing="1" w:after="100" w:afterAutospacing="1" w:line="240" w:lineRule="auto"/>
      <w:ind w:firstLine="0" w:firstLineChars="0"/>
    </w:pPr>
    <w:rPr>
      <w:rFonts w:ascii="仿宋_GB2312"/>
      <w:color w:val="000000"/>
      <w:sz w:val="21"/>
      <w:szCs w:val="21"/>
      <w:lang w:val="en-US" w:bidi="ar-SA"/>
    </w:rPr>
  </w:style>
  <w:style w:type="paragraph" w:customStyle="1" w:styleId="160">
    <w:name w:val="font8"/>
    <w:basedOn w:val="1"/>
    <w:qFormat/>
    <w:uiPriority w:val="0"/>
    <w:pPr>
      <w:widowControl/>
      <w:autoSpaceDE/>
      <w:autoSpaceDN/>
      <w:spacing w:before="100" w:beforeAutospacing="1" w:after="100" w:afterAutospacing="1" w:line="240" w:lineRule="auto"/>
      <w:ind w:firstLine="0" w:firstLineChars="0"/>
    </w:pPr>
    <w:rPr>
      <w:rFonts w:ascii="仿宋_GB2312"/>
      <w:b/>
      <w:bCs/>
      <w:color w:val="000000"/>
      <w:sz w:val="20"/>
      <w:szCs w:val="20"/>
      <w:lang w:val="en-US" w:bidi="ar-SA"/>
    </w:rPr>
  </w:style>
  <w:style w:type="table" w:customStyle="1" w:styleId="161">
    <w:name w:val="Table Normal"/>
    <w:semiHidden/>
    <w:unhideWhenUsed/>
    <w:qFormat/>
    <w:uiPriority w:val="0"/>
    <w:tblPr>
      <w:tblCellMar>
        <w:top w:w="0" w:type="dxa"/>
        <w:left w:w="0" w:type="dxa"/>
        <w:bottom w:w="0" w:type="dxa"/>
        <w:right w:w="0" w:type="dxa"/>
      </w:tblCellMar>
    </w:tblPr>
  </w:style>
  <w:style w:type="paragraph" w:customStyle="1" w:styleId="162">
    <w:name w:val="AA正文"/>
    <w:basedOn w:val="1"/>
    <w:qFormat/>
    <w:uiPriority w:val="0"/>
    <w:pPr>
      <w:widowControl/>
    </w:pPr>
  </w:style>
  <w:style w:type="paragraph" w:customStyle="1" w:styleId="163">
    <w:name w:val="坪山正文"/>
    <w:basedOn w:val="1"/>
    <w:qFormat/>
    <w:uiPriority w:val="0"/>
    <w:pPr>
      <w:widowControl/>
    </w:pPr>
    <w:rPr>
      <w:szCs w:val="24"/>
    </w:rPr>
  </w:style>
  <w:style w:type="character" w:customStyle="1" w:styleId="164">
    <w:name w:val="font21"/>
    <w:basedOn w:val="40"/>
    <w:qFormat/>
    <w:uiPriority w:val="0"/>
    <w:rPr>
      <w:rFonts w:hint="eastAsia" w:ascii="宋体" w:hAnsi="宋体" w:eastAsia="宋体" w:cs="宋体"/>
      <w:b/>
      <w:bCs/>
      <w:color w:val="000000"/>
      <w:sz w:val="22"/>
      <w:szCs w:val="22"/>
      <w:u w:val="none"/>
    </w:rPr>
  </w:style>
  <w:style w:type="character" w:customStyle="1" w:styleId="165">
    <w:name w:val="font11"/>
    <w:basedOn w:val="40"/>
    <w:qFormat/>
    <w:uiPriority w:val="0"/>
    <w:rPr>
      <w:rFonts w:hint="eastAsia" w:ascii="宋体" w:hAnsi="宋体" w:eastAsia="宋体" w:cs="宋体"/>
      <w:color w:val="000000"/>
      <w:sz w:val="22"/>
      <w:szCs w:val="22"/>
      <w:u w:val="none"/>
    </w:rPr>
  </w:style>
  <w:style w:type="character" w:customStyle="1" w:styleId="166">
    <w:name w:val="font101"/>
    <w:basedOn w:val="40"/>
    <w:qFormat/>
    <w:uiPriority w:val="0"/>
    <w:rPr>
      <w:rFonts w:hint="eastAsia" w:ascii="华文仿宋" w:hAnsi="华文仿宋" w:eastAsia="华文仿宋" w:cs="华文仿宋"/>
      <w:b/>
      <w:bCs/>
      <w:color w:val="000000"/>
      <w:sz w:val="22"/>
      <w:szCs w:val="22"/>
      <w:u w:val="none"/>
    </w:rPr>
  </w:style>
  <w:style w:type="character" w:customStyle="1" w:styleId="167">
    <w:name w:val="font112"/>
    <w:basedOn w:val="40"/>
    <w:qFormat/>
    <w:uiPriority w:val="0"/>
    <w:rPr>
      <w:rFonts w:hint="eastAsia" w:ascii="华文仿宋" w:hAnsi="华文仿宋" w:eastAsia="华文仿宋" w:cs="华文仿宋"/>
      <w:color w:val="000000"/>
      <w:sz w:val="22"/>
      <w:szCs w:val="22"/>
      <w:u w:val="none"/>
    </w:rPr>
  </w:style>
  <w:style w:type="character" w:customStyle="1" w:styleId="168">
    <w:name w:val="font13"/>
    <w:basedOn w:val="40"/>
    <w:qFormat/>
    <w:uiPriority w:val="0"/>
    <w:rPr>
      <w:rFonts w:hint="eastAsia" w:ascii="宋体" w:hAnsi="宋体" w:eastAsia="宋体" w:cs="宋体"/>
      <w:color w:val="000000"/>
      <w:sz w:val="22"/>
      <w:szCs w:val="22"/>
      <w:u w:val="none"/>
    </w:rPr>
  </w:style>
  <w:style w:type="character" w:customStyle="1" w:styleId="169">
    <w:name w:val="font111"/>
    <w:basedOn w:val="40"/>
    <w:qFormat/>
    <w:uiPriority w:val="0"/>
    <w:rPr>
      <w:rFonts w:hint="eastAsia" w:ascii="华文仿宋" w:hAnsi="华文仿宋" w:eastAsia="华文仿宋" w:cs="华文仿宋"/>
      <w:b/>
      <w:bCs/>
      <w:color w:val="000000"/>
      <w:sz w:val="22"/>
      <w:szCs w:val="22"/>
      <w:u w:val="none"/>
    </w:rPr>
  </w:style>
  <w:style w:type="character" w:customStyle="1" w:styleId="170">
    <w:name w:val="font121"/>
    <w:basedOn w:val="40"/>
    <w:qFormat/>
    <w:uiPriority w:val="0"/>
    <w:rPr>
      <w:rFonts w:hint="eastAsia" w:ascii="华文仿宋" w:hAnsi="华文仿宋" w:eastAsia="华文仿宋" w:cs="华文仿宋"/>
      <w:color w:val="000000"/>
      <w:sz w:val="22"/>
      <w:szCs w:val="22"/>
      <w:u w:val="none"/>
    </w:rPr>
  </w:style>
  <w:style w:type="paragraph" w:customStyle="1" w:styleId="171">
    <w:name w:val="标书正文"/>
    <w:basedOn w:val="1"/>
    <w:qFormat/>
    <w:uiPriority w:val="0"/>
    <w:rPr>
      <w:rFonts w:cs="Times New Roman"/>
      <w:szCs w:val="24"/>
    </w:rPr>
  </w:style>
  <w:style w:type="character" w:customStyle="1" w:styleId="172">
    <w:name w:val="批注主题 字符"/>
    <w:basedOn w:val="149"/>
    <w:link w:val="36"/>
    <w:qFormat/>
    <w:uiPriority w:val="99"/>
    <w:rPr>
      <w:rFonts w:ascii="仿宋GB2312" w:hAnsi="仿宋GB2312" w:eastAsia="仿宋GB2312" w:cs="宋体"/>
      <w:b/>
      <w:bCs/>
      <w:kern w:val="2"/>
      <w:sz w:val="24"/>
      <w:szCs w:val="24"/>
      <w:lang w:val="zh-CN" w:bidi="zh-CN"/>
    </w:rPr>
  </w:style>
  <w:style w:type="character" w:customStyle="1" w:styleId="173">
    <w:name w:val="批注框文本 字符"/>
    <w:basedOn w:val="40"/>
    <w:link w:val="26"/>
    <w:qFormat/>
    <w:uiPriority w:val="0"/>
    <w:rPr>
      <w:rFonts w:ascii="仿宋GB2312" w:hAnsi="仿宋GB2312" w:eastAsia="仿宋GB2312" w:cs="宋体"/>
      <w:kern w:val="2"/>
      <w:sz w:val="18"/>
      <w:szCs w:val="18"/>
    </w:rPr>
  </w:style>
  <w:style w:type="paragraph" w:customStyle="1" w:styleId="174">
    <w:name w:val="表格正文"/>
    <w:basedOn w:val="1"/>
    <w:link w:val="177"/>
    <w:qFormat/>
    <w:uiPriority w:val="0"/>
    <w:pPr>
      <w:autoSpaceDE/>
      <w:autoSpaceDN/>
      <w:spacing w:line="240" w:lineRule="auto"/>
      <w:ind w:firstLine="0" w:firstLineChars="0"/>
    </w:pPr>
    <w:rPr>
      <w:rFonts w:ascii="仿宋GB2312" w:hAnsi="仿宋GB2312" w:eastAsia="仿宋GB2312"/>
      <w:kern w:val="2"/>
      <w:sz w:val="21"/>
      <w:szCs w:val="21"/>
      <w:lang w:val="en-US" w:bidi="ar-SA"/>
    </w:rPr>
  </w:style>
  <w:style w:type="paragraph" w:customStyle="1" w:styleId="175">
    <w:name w:val="图表序名"/>
    <w:basedOn w:val="1"/>
    <w:link w:val="176"/>
    <w:qFormat/>
    <w:uiPriority w:val="0"/>
    <w:pPr>
      <w:autoSpaceDE/>
      <w:autoSpaceDN/>
      <w:ind w:firstLine="0" w:firstLineChars="0"/>
      <w:jc w:val="center"/>
    </w:pPr>
    <w:rPr>
      <w:rFonts w:ascii="黑体" w:hAnsi="黑体" w:eastAsia="黑体" w:cs="黑体"/>
      <w:kern w:val="2"/>
      <w:sz w:val="21"/>
      <w:szCs w:val="21"/>
      <w:lang w:val="en-US" w:bidi="ar-SA"/>
    </w:rPr>
  </w:style>
  <w:style w:type="character" w:customStyle="1" w:styleId="176">
    <w:name w:val="图表序名 字符"/>
    <w:basedOn w:val="40"/>
    <w:link w:val="175"/>
    <w:qFormat/>
    <w:uiPriority w:val="0"/>
    <w:rPr>
      <w:rFonts w:ascii="黑体" w:hAnsi="黑体" w:eastAsia="黑体" w:cs="黑体"/>
      <w:kern w:val="2"/>
      <w:sz w:val="21"/>
      <w:szCs w:val="21"/>
    </w:rPr>
  </w:style>
  <w:style w:type="character" w:customStyle="1" w:styleId="177">
    <w:name w:val="表格正文 字符"/>
    <w:basedOn w:val="40"/>
    <w:link w:val="174"/>
    <w:qFormat/>
    <w:uiPriority w:val="0"/>
    <w:rPr>
      <w:rFonts w:ascii="仿宋GB2312" w:hAnsi="仿宋GB2312" w:eastAsia="仿宋GB2312" w:cs="宋体"/>
      <w:kern w:val="2"/>
      <w:sz w:val="21"/>
      <w:szCs w:val="21"/>
    </w:rPr>
  </w:style>
  <w:style w:type="paragraph" w:customStyle="1" w:styleId="178">
    <w:name w:val="TOC 标题1"/>
    <w:basedOn w:val="2"/>
    <w:next w:val="1"/>
    <w:unhideWhenUsed/>
    <w:qFormat/>
    <w:uiPriority w:val="39"/>
    <w:pPr>
      <w:widowControl/>
      <w:numPr>
        <w:numId w:val="0"/>
      </w:numPr>
      <w:tabs>
        <w:tab w:val="clear" w:pos="0"/>
      </w:tabs>
      <w:autoSpaceDE/>
      <w:autoSpaceDN/>
      <w:spacing w:before="240" w:after="0" w:line="259" w:lineRule="auto"/>
      <w:jc w:val="left"/>
      <w:outlineLvl w:val="9"/>
    </w:pPr>
    <w:rPr>
      <w:rFonts w:asciiTheme="majorHAnsi" w:hAnsiTheme="majorHAnsi" w:eastAsiaTheme="majorEastAsia" w:cstheme="majorBidi"/>
      <w:color w:val="2E54A1" w:themeColor="accent1" w:themeShade="BF"/>
      <w:kern w:val="0"/>
      <w:szCs w:val="32"/>
      <w:lang w:val="en-US" w:bidi="ar-SA"/>
    </w:rPr>
  </w:style>
  <w:style w:type="table" w:customStyle="1" w:styleId="179">
    <w:name w:val="网格型1"/>
    <w:basedOn w:val="3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80">
    <w:name w:val="!我的正文 Ctr+Q"/>
    <w:basedOn w:val="1"/>
    <w:qFormat/>
    <w:uiPriority w:val="0"/>
    <w:pPr>
      <w:wordWrap w:val="0"/>
      <w:autoSpaceDE/>
      <w:autoSpaceDN/>
      <w:adjustRightInd w:val="0"/>
      <w:snapToGrid w:val="0"/>
      <w:ind w:firstLine="560"/>
      <w:jc w:val="both"/>
    </w:pPr>
    <w:rPr>
      <w:rFonts w:ascii="仿宋" w:hAnsi="仿宋"/>
      <w:kern w:val="2"/>
      <w:szCs w:val="28"/>
      <w:lang w:val="en-US" w:bidi="ar-SA"/>
    </w:rPr>
  </w:style>
  <w:style w:type="paragraph" w:customStyle="1" w:styleId="181">
    <w:name w:val="DocParagraph"/>
    <w:basedOn w:val="1"/>
    <w:qFormat/>
    <w:uiPriority w:val="1"/>
    <w:pPr>
      <w:autoSpaceDE/>
      <w:autoSpaceDN/>
      <w:spacing w:line="288" w:lineRule="auto"/>
      <w:ind w:left="1247" w:firstLine="0"/>
      <w:jc w:val="both"/>
    </w:pPr>
    <w:rPr>
      <w:rFonts w:ascii="仿宋GB2312" w:hAnsi="仿宋GB2312" w:eastAsia="仿宋GB2312"/>
      <w:kern w:val="44"/>
      <w:sz w:val="21"/>
      <w:szCs w:val="44"/>
      <w:lang w:val="en-US" w:bidi="ar-SA"/>
    </w:rPr>
  </w:style>
  <w:style w:type="paragraph" w:customStyle="1" w:styleId="182">
    <w:name w:val="【正文】"/>
    <w:basedOn w:val="1"/>
    <w:qFormat/>
    <w:uiPriority w:val="0"/>
    <w:pPr>
      <w:autoSpaceDE/>
      <w:autoSpaceDN/>
      <w:ind w:firstLine="200"/>
      <w:jc w:val="both"/>
    </w:pPr>
    <w:rPr>
      <w:rFonts w:ascii="Calibri" w:hAnsi="Calibri" w:eastAsia="仿宋GB2312" w:cs="黑体"/>
      <w:kern w:val="2"/>
      <w:lang w:val="en-US" w:bidi="ar-SA"/>
    </w:rPr>
  </w:style>
  <w:style w:type="paragraph" w:customStyle="1" w:styleId="183">
    <w:name w:val="文档正文"/>
    <w:basedOn w:val="1"/>
    <w:qFormat/>
    <w:uiPriority w:val="0"/>
    <w:pPr>
      <w:autoSpaceDE/>
      <w:autoSpaceDN/>
      <w:adjustRightInd w:val="0"/>
      <w:ind w:firstLine="880"/>
      <w:jc w:val="both"/>
      <w:textAlignment w:val="baseline"/>
    </w:pPr>
    <w:rPr>
      <w:rFonts w:ascii="Times New Roman" w:hAnsi="Times New Roman" w:eastAsia="仿宋GB2312"/>
      <w:spacing w:val="4"/>
      <w:szCs w:val="20"/>
      <w:lang w:val="en-US" w:bidi="ar-SA"/>
    </w:rPr>
  </w:style>
  <w:style w:type="paragraph" w:customStyle="1" w:styleId="184">
    <w:name w:val="图片"/>
    <w:basedOn w:val="1"/>
    <w:qFormat/>
    <w:uiPriority w:val="0"/>
    <w:pPr>
      <w:autoSpaceDE/>
      <w:autoSpaceDN/>
      <w:spacing w:line="240" w:lineRule="auto"/>
      <w:ind w:firstLine="0" w:firstLineChars="0"/>
      <w:jc w:val="center"/>
    </w:pPr>
    <w:rPr>
      <w:rFonts w:ascii="黑体" w:hAnsi="黑体" w:eastAsia="黑体" w:cs="黑体"/>
      <w:kern w:val="2"/>
      <w:szCs w:val="24"/>
      <w:lang w:val="en-US" w:bidi="ar-SA"/>
    </w:rPr>
  </w:style>
  <w:style w:type="paragraph" w:customStyle="1" w:styleId="185">
    <w:name w:val="tsl正文样式"/>
    <w:basedOn w:val="1"/>
    <w:qFormat/>
    <w:uiPriority w:val="0"/>
    <w:pPr>
      <w:autoSpaceDE/>
      <w:autoSpaceDN/>
      <w:adjustRightInd w:val="0"/>
      <w:snapToGrid w:val="0"/>
      <w:ind w:firstLine="480"/>
    </w:pPr>
    <w:rPr>
      <w:rFonts w:eastAsiaTheme="minorEastAsia" w:cstheme="minorBidi"/>
      <w:szCs w:val="20"/>
      <w:lang w:val="en-US" w:bidi="ar-SA"/>
    </w:rPr>
  </w:style>
  <w:style w:type="paragraph" w:customStyle="1" w:styleId="186">
    <w:name w:val="*正文"/>
    <w:basedOn w:val="1"/>
    <w:qFormat/>
    <w:uiPriority w:val="0"/>
    <w:pPr>
      <w:autoSpaceDE/>
      <w:autoSpaceDN/>
      <w:ind w:firstLine="880"/>
      <w:jc w:val="both"/>
    </w:pPr>
    <w:rPr>
      <w:rFonts w:ascii="仿宋GB2312" w:hAnsi="仿宋GB2312" w:eastAsia="仿宋GB2312" w:cs="Times New Roman"/>
      <w:kern w:val="2"/>
      <w:szCs w:val="24"/>
      <w:lang w:bidi="ar-SA"/>
    </w:rPr>
  </w:style>
  <w:style w:type="paragraph" w:customStyle="1" w:styleId="187">
    <w:name w:val="Body text|1"/>
    <w:basedOn w:val="1"/>
    <w:qFormat/>
    <w:uiPriority w:val="0"/>
    <w:pPr>
      <w:autoSpaceDE/>
      <w:autoSpaceDN/>
      <w:spacing w:after="40"/>
      <w:ind w:firstLine="880"/>
      <w:jc w:val="both"/>
    </w:pPr>
    <w:rPr>
      <w:rFonts w:eastAsia="宋体"/>
      <w:kern w:val="2"/>
      <w:sz w:val="26"/>
      <w:szCs w:val="26"/>
      <w:lang w:val="zh-TW" w:eastAsia="zh-TW" w:bidi="zh-TW"/>
    </w:rPr>
  </w:style>
  <w:style w:type="paragraph" w:customStyle="1" w:styleId="188">
    <w:name w:val="参考资料清单+倾斜+蓝色"/>
    <w:basedOn w:val="1"/>
    <w:qFormat/>
    <w:uiPriority w:val="0"/>
    <w:pPr>
      <w:autoSpaceDE/>
      <w:autoSpaceDN/>
      <w:ind w:firstLine="880"/>
      <w:jc w:val="both"/>
    </w:pPr>
    <w:rPr>
      <w:rFonts w:ascii="Arial" w:hAnsi="Arial" w:eastAsia="仿宋GB2312"/>
      <w:i/>
      <w:iCs/>
      <w:color w:val="0000FF"/>
      <w:kern w:val="2"/>
      <w:sz w:val="21"/>
      <w:szCs w:val="24"/>
      <w:lang w:val="en-US" w:bidi="ar-SA"/>
    </w:rPr>
  </w:style>
  <w:style w:type="paragraph" w:customStyle="1" w:styleId="189">
    <w:name w:val="2"/>
    <w:qFormat/>
    <w:uiPriority w:val="0"/>
    <w:pPr>
      <w:spacing w:before="120" w:after="120" w:line="288" w:lineRule="auto"/>
    </w:pPr>
    <w:rPr>
      <w:rFonts w:ascii="Arial" w:hAnsi="Arial" w:eastAsia="等线" w:cs="Arial"/>
      <w:sz w:val="22"/>
      <w:szCs w:val="22"/>
      <w:lang w:val="en-US" w:eastAsia="zh-CN" w:bidi="ar-SA"/>
    </w:rPr>
  </w:style>
  <w:style w:type="character" w:customStyle="1" w:styleId="190">
    <w:name w:val="font131"/>
    <w:basedOn w:val="40"/>
    <w:qFormat/>
    <w:uiPriority w:val="0"/>
    <w:rPr>
      <w:rFonts w:hint="default" w:ascii="Times New Roman" w:hAnsi="Times New Roman" w:cs="Times New Roman"/>
      <w:color w:val="000000"/>
      <w:sz w:val="24"/>
      <w:szCs w:val="24"/>
      <w:u w:val="none"/>
    </w:rPr>
  </w:style>
  <w:style w:type="character" w:customStyle="1" w:styleId="191">
    <w:name w:val="font141"/>
    <w:basedOn w:val="40"/>
    <w:qFormat/>
    <w:uiPriority w:val="0"/>
    <w:rPr>
      <w:rFonts w:hint="eastAsia" w:ascii="宋体" w:hAnsi="宋体" w:eastAsia="宋体" w:cs="宋体"/>
      <w:color w:val="000000"/>
      <w:sz w:val="22"/>
      <w:szCs w:val="22"/>
      <w:u w:val="none"/>
      <w:vertAlign w:val="superscript"/>
    </w:rPr>
  </w:style>
  <w:style w:type="character" w:customStyle="1" w:styleId="192">
    <w:name w:val="font151"/>
    <w:basedOn w:val="40"/>
    <w:qFormat/>
    <w:uiPriority w:val="0"/>
    <w:rPr>
      <w:rFonts w:hint="default" w:ascii="Times New Roman" w:hAnsi="Times New Roman" w:cs="Times New Roman"/>
      <w:color w:val="000000"/>
      <w:sz w:val="22"/>
      <w:szCs w:val="22"/>
      <w:u w:val="none"/>
    </w:rPr>
  </w:style>
  <w:style w:type="character" w:customStyle="1" w:styleId="193">
    <w:name w:val="font01"/>
    <w:basedOn w:val="40"/>
    <w:qFormat/>
    <w:uiPriority w:val="0"/>
    <w:rPr>
      <w:rFonts w:hint="eastAsia" w:ascii="宋体" w:hAnsi="宋体" w:eastAsia="宋体" w:cs="宋体"/>
      <w:color w:val="000000"/>
      <w:sz w:val="22"/>
      <w:szCs w:val="22"/>
      <w:u w:val="none"/>
    </w:rPr>
  </w:style>
  <w:style w:type="paragraph" w:customStyle="1" w:styleId="194">
    <w:name w:val="二级条标题"/>
    <w:basedOn w:val="195"/>
    <w:next w:val="197"/>
    <w:qFormat/>
    <w:uiPriority w:val="0"/>
    <w:pPr>
      <w:numPr>
        <w:ilvl w:val="3"/>
      </w:numPr>
      <w:tabs>
        <w:tab w:val="left" w:pos="0"/>
      </w:tabs>
      <w:outlineLvl w:val="3"/>
    </w:pPr>
  </w:style>
  <w:style w:type="paragraph" w:customStyle="1" w:styleId="195">
    <w:name w:val="一级条标题"/>
    <w:basedOn w:val="196"/>
    <w:next w:val="197"/>
    <w:qFormat/>
    <w:uiPriority w:val="0"/>
    <w:pPr>
      <w:numPr>
        <w:ilvl w:val="2"/>
      </w:numPr>
      <w:tabs>
        <w:tab w:val="left" w:pos="0"/>
      </w:tabs>
      <w:spacing w:before="120" w:beforeLines="0" w:after="120" w:afterLines="0"/>
      <w:jc w:val="left"/>
      <w:outlineLvl w:val="2"/>
    </w:pPr>
  </w:style>
  <w:style w:type="paragraph" w:customStyle="1" w:styleId="196">
    <w:name w:val="章标题"/>
    <w:basedOn w:val="1"/>
    <w:next w:val="197"/>
    <w:qFormat/>
    <w:uiPriority w:val="0"/>
    <w:pPr>
      <w:widowControl/>
      <w:numPr>
        <w:ilvl w:val="1"/>
        <w:numId w:val="8"/>
      </w:numPr>
      <w:autoSpaceDE/>
      <w:autoSpaceDN/>
      <w:spacing w:before="65466" w:beforeLines="50" w:after="65466" w:afterLines="50"/>
      <w:jc w:val="both"/>
      <w:outlineLvl w:val="1"/>
    </w:pPr>
    <w:rPr>
      <w:rFonts w:hint="eastAsia" w:ascii="黑体" w:eastAsia="黑体" w:cs="Times New Roman"/>
      <w:sz w:val="21"/>
      <w:szCs w:val="20"/>
      <w:lang w:val="en-US" w:bidi="ar-SA"/>
    </w:rPr>
  </w:style>
  <w:style w:type="paragraph" w:customStyle="1" w:styleId="197">
    <w:name w:val="段"/>
    <w:basedOn w:val="1"/>
    <w:qFormat/>
    <w:uiPriority w:val="0"/>
    <w:pPr>
      <w:widowControl/>
      <w:ind w:firstLine="200"/>
      <w:jc w:val="both"/>
    </w:pPr>
    <w:rPr>
      <w:rFonts w:hint="eastAsia" w:eastAsia="仿宋GB2312"/>
      <w:szCs w:val="24"/>
      <w:lang w:val="en-US" w:bidi="ar-SA"/>
    </w:rPr>
  </w:style>
  <w:style w:type="table" w:customStyle="1" w:styleId="198">
    <w:name w:val="样式9"/>
    <w:basedOn w:val="38"/>
    <w:qFormat/>
    <w:uiPriority w:val="99"/>
    <w:pPr>
      <w:spacing w:line="276" w:lineRule="auto"/>
      <w:jc w:val="center"/>
    </w:pPr>
    <w:rPr>
      <w:rFonts w:eastAsia="华文仿宋"/>
      <w:sz w:val="21"/>
    </w:rPr>
    <w:tblPr>
      <w:tblBorders>
        <w:top w:val="single" w:color="auto" w:sz="18" w:space="0"/>
        <w:left w:val="single" w:color="auto" w:sz="18" w:space="0"/>
        <w:bottom w:val="single" w:color="auto" w:sz="18" w:space="0"/>
        <w:right w:val="single" w:color="auto" w:sz="18" w:space="0"/>
        <w:insideH w:val="single" w:color="auto" w:sz="4" w:space="0"/>
        <w:insideV w:val="single" w:color="auto" w:sz="4" w:space="0"/>
      </w:tblBorders>
    </w:tblPr>
    <w:tcPr>
      <w:vAlign w:val="center"/>
    </w:tcPr>
    <w:tblStylePr w:type="firstRow">
      <w:rPr>
        <w:rFonts w:eastAsia="Marlett"/>
        <w:b/>
      </w:rPr>
    </w:tblStylePr>
  </w:style>
  <w:style w:type="character" w:customStyle="1" w:styleId="199">
    <w:name w:val="15"/>
    <w:basedOn w:val="40"/>
    <w:qFormat/>
    <w:uiPriority w:val="0"/>
    <w:rPr>
      <w:rFonts w:hint="default" w:ascii="Times New Roman" w:hAnsi="Times New Roman" w:cs="Times New Roman"/>
      <w:sz w:val="21"/>
      <w:szCs w:val="21"/>
    </w:rPr>
  </w:style>
  <w:style w:type="paragraph" w:customStyle="1" w:styleId="200">
    <w:name w:val="表内文字居左"/>
    <w:qFormat/>
    <w:uiPriority w:val="0"/>
    <w:pPr>
      <w:widowControl w:val="0"/>
      <w:adjustRightInd w:val="0"/>
      <w:snapToGrid w:val="0"/>
      <w:spacing w:line="360" w:lineRule="auto"/>
      <w:jc w:val="both"/>
    </w:pPr>
    <w:rPr>
      <w:rFonts w:ascii="Times New Roman" w:hAnsi="Times New Roman" w:eastAsia="宋体-简" w:cs="Times New Roman"/>
      <w:kern w:val="2"/>
      <w:sz w:val="21"/>
      <w:szCs w:val="24"/>
      <w:lang w:val="en-US" w:eastAsia="zh-CN" w:bidi="ar-SA"/>
    </w:rPr>
  </w:style>
  <w:style w:type="paragraph" w:customStyle="1" w:styleId="201">
    <w:name w:val="列出段落"/>
    <w:basedOn w:val="1"/>
    <w:qFormat/>
    <w:uiPriority w:val="0"/>
    <w:pPr>
      <w:autoSpaceDE/>
      <w:autoSpaceDN/>
      <w:ind w:firstLine="420"/>
      <w:jc w:val="both"/>
    </w:pPr>
    <w:rPr>
      <w:rFonts w:ascii="等线" w:hAnsi="等线" w:eastAsia="等线"/>
      <w:kern w:val="2"/>
      <w:szCs w:val="24"/>
      <w:lang w:val="en-US" w:bidi="ar-SA"/>
    </w:rPr>
  </w:style>
  <w:style w:type="character" w:customStyle="1" w:styleId="202">
    <w:name w:val="font122"/>
    <w:basedOn w:val="40"/>
    <w:qFormat/>
    <w:uiPriority w:val="0"/>
    <w:rPr>
      <w:rFonts w:ascii="Arial" w:hAnsi="Arial" w:cs="Arial"/>
      <w:color w:val="000000"/>
      <w:sz w:val="22"/>
      <w:szCs w:val="22"/>
      <w:u w:val="none"/>
    </w:rPr>
  </w:style>
  <w:style w:type="paragraph" w:customStyle="1" w:styleId="203">
    <w:name w:val="样式 首行缩进:  0 字符"/>
    <w:basedOn w:val="1"/>
    <w:qFormat/>
    <w:uiPriority w:val="0"/>
    <w:pPr>
      <w:autoSpaceDE/>
      <w:autoSpaceDN/>
      <w:ind w:firstLine="880"/>
      <w:jc w:val="both"/>
    </w:pPr>
    <w:rPr>
      <w:rFonts w:asciiTheme="minorHAnsi" w:hAnsiTheme="minorHAnsi" w:eastAsiaTheme="minorEastAsia" w:cstheme="minorBidi"/>
      <w:kern w:val="2"/>
      <w:lang w:val="en-US" w:bidi="ar-SA"/>
    </w:rPr>
  </w:style>
  <w:style w:type="paragraph" w:customStyle="1" w:styleId="204">
    <w:name w:val="标准正文"/>
    <w:basedOn w:val="1"/>
    <w:qFormat/>
    <w:uiPriority w:val="0"/>
    <w:pPr>
      <w:autoSpaceDE/>
      <w:autoSpaceDN/>
      <w:spacing w:before="156" w:after="156"/>
      <w:ind w:firstLine="480"/>
      <w:jc w:val="both"/>
    </w:pPr>
    <w:rPr>
      <w:rFonts w:ascii="Times New Roman" w:hAnsi="Times New Roman" w:eastAsia="仿宋" w:cs="Times New Roman"/>
      <w:kern w:val="2"/>
      <w:lang w:val="en-US" w:bidi="ar-SA"/>
    </w:rPr>
  </w:style>
  <w:style w:type="paragraph" w:customStyle="1" w:styleId="205">
    <w:name w:val="et24"/>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pPr>
    <w:rPr>
      <w:rFonts w:ascii="华文仿宋" w:hAnsi="华文仿宋" w:eastAsia="华文仿宋"/>
      <w:b/>
      <w:bCs/>
      <w:color w:val="000000"/>
      <w:szCs w:val="24"/>
      <w:lang w:val="en-US" w:bidi="ar-SA"/>
    </w:rPr>
  </w:style>
  <w:style w:type="paragraph" w:customStyle="1" w:styleId="206">
    <w:name w:val="et30"/>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eastAsia="宋体"/>
      <w:b/>
      <w:bCs/>
      <w:color w:val="000000"/>
      <w:szCs w:val="24"/>
      <w:lang w:val="en-US" w:bidi="ar-SA"/>
    </w:rPr>
  </w:style>
  <w:style w:type="paragraph" w:customStyle="1" w:styleId="207">
    <w:name w:val="et31"/>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jc w:val="center"/>
    </w:pPr>
    <w:rPr>
      <w:rFonts w:eastAsia="宋体"/>
      <w:b/>
      <w:bCs/>
      <w:color w:val="000000"/>
      <w:szCs w:val="24"/>
      <w:lang w:val="en-US" w:bidi="ar-SA"/>
    </w:rPr>
  </w:style>
  <w:style w:type="character" w:customStyle="1" w:styleId="208">
    <w:name w:val="未处理的提及3"/>
    <w:basedOn w:val="40"/>
    <w:semiHidden/>
    <w:unhideWhenUsed/>
    <w:qFormat/>
    <w:uiPriority w:val="99"/>
    <w:rPr>
      <w:color w:val="605E5C"/>
      <w:shd w:val="clear" w:color="auto" w:fill="E1DFDD"/>
    </w:rPr>
  </w:style>
  <w:style w:type="paragraph" w:customStyle="1" w:styleId="209">
    <w:name w:val="font9"/>
    <w:basedOn w:val="1"/>
    <w:qFormat/>
    <w:uiPriority w:val="0"/>
    <w:pPr>
      <w:widowControl/>
      <w:autoSpaceDE/>
      <w:autoSpaceDN/>
      <w:spacing w:before="100" w:beforeAutospacing="1" w:after="100" w:afterAutospacing="1" w:line="240" w:lineRule="auto"/>
      <w:ind w:firstLine="0" w:firstLineChars="0"/>
    </w:pPr>
    <w:rPr>
      <w:rFonts w:eastAsia="宋体"/>
      <w:color w:val="000000"/>
      <w:sz w:val="16"/>
      <w:szCs w:val="16"/>
      <w:lang w:val="en-US" w:bidi="ar-SA"/>
    </w:rPr>
  </w:style>
  <w:style w:type="paragraph" w:customStyle="1" w:styleId="210">
    <w:name w:val="font10"/>
    <w:basedOn w:val="1"/>
    <w:qFormat/>
    <w:uiPriority w:val="0"/>
    <w:pPr>
      <w:widowControl/>
      <w:autoSpaceDE/>
      <w:autoSpaceDN/>
      <w:spacing w:before="100" w:beforeAutospacing="1" w:after="100" w:afterAutospacing="1" w:line="240" w:lineRule="auto"/>
      <w:ind w:firstLine="0" w:firstLineChars="0"/>
    </w:pPr>
    <w:rPr>
      <w:rFonts w:eastAsia="宋体"/>
      <w:color w:val="000000"/>
      <w:sz w:val="16"/>
      <w:szCs w:val="16"/>
      <w:lang w:val="en-US" w:bidi="ar-SA"/>
    </w:rPr>
  </w:style>
  <w:style w:type="paragraph" w:customStyle="1" w:styleId="211">
    <w:name w:val="et32"/>
    <w:basedOn w:val="1"/>
    <w:qFormat/>
    <w:uiPriority w:val="0"/>
    <w:pPr>
      <w:widowControl/>
      <w:pBdr>
        <w:top w:val="single" w:color="000000" w:sz="4" w:space="0"/>
        <w:left w:val="single" w:color="000000" w:sz="4" w:space="0"/>
        <w:bottom w:val="single" w:color="000000" w:sz="4" w:space="0"/>
        <w:right w:val="single" w:color="000000" w:sz="4" w:space="0"/>
      </w:pBdr>
      <w:shd w:val="clear" w:color="auto" w:fill="FEDB61"/>
      <w:autoSpaceDE/>
      <w:autoSpaceDN/>
      <w:spacing w:before="100" w:beforeAutospacing="1" w:after="100" w:afterAutospacing="1" w:line="240" w:lineRule="auto"/>
      <w:ind w:firstLine="0" w:firstLineChars="0"/>
      <w:jc w:val="center"/>
    </w:pPr>
    <w:rPr>
      <w:rFonts w:eastAsia="宋体"/>
      <w:color w:val="000000"/>
      <w:sz w:val="22"/>
      <w:lang w:val="en-US" w:bidi="ar-SA"/>
    </w:rPr>
  </w:style>
  <w:style w:type="paragraph" w:customStyle="1" w:styleId="212">
    <w:name w:val="et33"/>
    <w:basedOn w:val="1"/>
    <w:qFormat/>
    <w:uiPriority w:val="0"/>
    <w:pPr>
      <w:widowControl/>
      <w:pBdr>
        <w:top w:val="single" w:color="000000" w:sz="4" w:space="0"/>
        <w:left w:val="single" w:color="000000" w:sz="4" w:space="0"/>
        <w:bottom w:val="single" w:color="000000" w:sz="4" w:space="0"/>
        <w:right w:val="single" w:color="000000" w:sz="4" w:space="0"/>
      </w:pBdr>
      <w:autoSpaceDE/>
      <w:autoSpaceDN/>
      <w:spacing w:before="100" w:beforeAutospacing="1" w:after="100" w:afterAutospacing="1" w:line="240" w:lineRule="auto"/>
      <w:ind w:firstLine="0" w:firstLineChars="0"/>
    </w:pPr>
    <w:rPr>
      <w:rFonts w:eastAsia="宋体"/>
      <w:color w:val="000000"/>
      <w:sz w:val="16"/>
      <w:szCs w:val="16"/>
      <w:lang w:val="en-US" w:bidi="ar-SA"/>
    </w:rPr>
  </w:style>
  <w:style w:type="paragraph" w:customStyle="1" w:styleId="213">
    <w:name w:val="表头文字"/>
    <w:basedOn w:val="1"/>
    <w:qFormat/>
    <w:uiPriority w:val="0"/>
    <w:pPr>
      <w:spacing w:line="360" w:lineRule="auto"/>
      <w:ind w:firstLine="0" w:firstLineChars="0"/>
      <w:jc w:val="center"/>
    </w:pPr>
    <w:rPr>
      <w:rFonts w:eastAsia="宋体"/>
      <w:color w:val="000000"/>
    </w:rPr>
  </w:style>
  <w:style w:type="paragraph" w:customStyle="1" w:styleId="214">
    <w:name w:val="表头(列)文字"/>
    <w:basedOn w:val="1"/>
    <w:qFormat/>
    <w:uiPriority w:val="0"/>
    <w:pPr>
      <w:spacing w:line="360" w:lineRule="auto"/>
      <w:ind w:firstLine="0" w:firstLineChars="0"/>
      <w:jc w:val="center"/>
    </w:pPr>
    <w:rPr>
      <w:rFonts w:eastAsia="宋体"/>
      <w:color w:val="000000"/>
    </w:rPr>
  </w:style>
  <w:style w:type="paragraph" w:customStyle="1" w:styleId="215">
    <w:name w:val="表格文字"/>
    <w:basedOn w:val="1"/>
    <w:qFormat/>
    <w:uiPriority w:val="0"/>
    <w:pPr>
      <w:spacing w:line="360" w:lineRule="auto"/>
      <w:ind w:firstLine="0" w:firstLineChars="0"/>
      <w:jc w:val="center"/>
    </w:pPr>
    <w:rPr>
      <w:rFonts w:eastAsia="宋体"/>
      <w:color w:val="000000"/>
    </w:rPr>
  </w:style>
</w:styles>
</file>

<file path=word/_rels/document.xml.rels><?xml version="1.0" encoding="UTF-8" standalone="yes"?>
<Relationships xmlns="http://schemas.openxmlformats.org/package/2006/relationships"><Relationship Id="rId94" Type="http://schemas.openxmlformats.org/officeDocument/2006/relationships/fontTable" Target="fontTable.xml"/><Relationship Id="rId93" Type="http://schemas.openxmlformats.org/officeDocument/2006/relationships/customXml" Target="../customXml/item2.xml"/><Relationship Id="rId92" Type="http://schemas.openxmlformats.org/officeDocument/2006/relationships/numbering" Target="numbering.xml"/><Relationship Id="rId91" Type="http://schemas.openxmlformats.org/officeDocument/2006/relationships/customXml" Target="../customXml/item1.xml"/><Relationship Id="rId90" Type="http://schemas.openxmlformats.org/officeDocument/2006/relationships/image" Target="media/image68.png"/><Relationship Id="rId9" Type="http://schemas.openxmlformats.org/officeDocument/2006/relationships/footer" Target="footer2.xml"/><Relationship Id="rId89" Type="http://schemas.openxmlformats.org/officeDocument/2006/relationships/image" Target="media/image67.png"/><Relationship Id="rId88" Type="http://schemas.openxmlformats.org/officeDocument/2006/relationships/image" Target="media/image66.png"/><Relationship Id="rId87" Type="http://schemas.openxmlformats.org/officeDocument/2006/relationships/image" Target="media/image65.png"/><Relationship Id="rId86" Type="http://schemas.openxmlformats.org/officeDocument/2006/relationships/image" Target="media/image64.png"/><Relationship Id="rId85" Type="http://schemas.openxmlformats.org/officeDocument/2006/relationships/image" Target="media/image63.png"/><Relationship Id="rId84" Type="http://schemas.openxmlformats.org/officeDocument/2006/relationships/image" Target="media/image62.png"/><Relationship Id="rId83" Type="http://schemas.openxmlformats.org/officeDocument/2006/relationships/image" Target="media/image61.png"/><Relationship Id="rId82" Type="http://schemas.openxmlformats.org/officeDocument/2006/relationships/image" Target="media/image60.png"/><Relationship Id="rId81" Type="http://schemas.openxmlformats.org/officeDocument/2006/relationships/image" Target="media/image59.png"/><Relationship Id="rId80" Type="http://schemas.openxmlformats.org/officeDocument/2006/relationships/image" Target="media/image58.png"/><Relationship Id="rId8" Type="http://schemas.openxmlformats.org/officeDocument/2006/relationships/footer" Target="footer1.xml"/><Relationship Id="rId79" Type="http://schemas.openxmlformats.org/officeDocument/2006/relationships/image" Target="media/image57.png"/><Relationship Id="rId78" Type="http://schemas.openxmlformats.org/officeDocument/2006/relationships/image" Target="media/image56.png"/><Relationship Id="rId77" Type="http://schemas.openxmlformats.org/officeDocument/2006/relationships/image" Target="media/image55.png"/><Relationship Id="rId76" Type="http://schemas.openxmlformats.org/officeDocument/2006/relationships/image" Target="media/image54.png"/><Relationship Id="rId75" Type="http://schemas.openxmlformats.org/officeDocument/2006/relationships/image" Target="media/image53.png"/><Relationship Id="rId74" Type="http://schemas.openxmlformats.org/officeDocument/2006/relationships/image" Target="media/image52.png"/><Relationship Id="rId73" Type="http://schemas.openxmlformats.org/officeDocument/2006/relationships/image" Target="media/image51.png"/><Relationship Id="rId72" Type="http://schemas.openxmlformats.org/officeDocument/2006/relationships/image" Target="media/image50.png"/><Relationship Id="rId71" Type="http://schemas.openxmlformats.org/officeDocument/2006/relationships/image" Target="media/image49.png"/><Relationship Id="rId70" Type="http://schemas.openxmlformats.org/officeDocument/2006/relationships/image" Target="media/image48.png"/><Relationship Id="rId7" Type="http://schemas.openxmlformats.org/officeDocument/2006/relationships/header" Target="header3.xml"/><Relationship Id="rId69" Type="http://schemas.openxmlformats.org/officeDocument/2006/relationships/image" Target="media/image47.png"/><Relationship Id="rId68" Type="http://schemas.openxmlformats.org/officeDocument/2006/relationships/image" Target="media/image46.png"/><Relationship Id="rId67" Type="http://schemas.openxmlformats.org/officeDocument/2006/relationships/image" Target="media/image45.png"/><Relationship Id="rId66" Type="http://schemas.openxmlformats.org/officeDocument/2006/relationships/image" Target="media/image44.png"/><Relationship Id="rId65" Type="http://schemas.openxmlformats.org/officeDocument/2006/relationships/image" Target="media/image43.png"/><Relationship Id="rId64" Type="http://schemas.openxmlformats.org/officeDocument/2006/relationships/image" Target="media/image42.png"/><Relationship Id="rId63" Type="http://schemas.openxmlformats.org/officeDocument/2006/relationships/image" Target="media/image41.png"/><Relationship Id="rId62" Type="http://schemas.openxmlformats.org/officeDocument/2006/relationships/image" Target="media/image40.png"/><Relationship Id="rId61" Type="http://schemas.openxmlformats.org/officeDocument/2006/relationships/image" Target="media/image39.png"/><Relationship Id="rId60" Type="http://schemas.openxmlformats.org/officeDocument/2006/relationships/image" Target="media/image38.png"/><Relationship Id="rId6" Type="http://schemas.openxmlformats.org/officeDocument/2006/relationships/header" Target="header2.xml"/><Relationship Id="rId59" Type="http://schemas.openxmlformats.org/officeDocument/2006/relationships/image" Target="media/image37.jpeg"/><Relationship Id="rId58" Type="http://schemas.openxmlformats.org/officeDocument/2006/relationships/image" Target="media/image36.png"/><Relationship Id="rId57" Type="http://schemas.openxmlformats.org/officeDocument/2006/relationships/image" Target="media/image35.png"/><Relationship Id="rId56" Type="http://schemas.openxmlformats.org/officeDocument/2006/relationships/image" Target="media/image34.png"/><Relationship Id="rId55" Type="http://schemas.openxmlformats.org/officeDocument/2006/relationships/image" Target="media/image33.png"/><Relationship Id="rId54" Type="http://schemas.openxmlformats.org/officeDocument/2006/relationships/image" Target="media/image32.png"/><Relationship Id="rId53" Type="http://schemas.openxmlformats.org/officeDocument/2006/relationships/image" Target="media/image31.png"/><Relationship Id="rId52" Type="http://schemas.openxmlformats.org/officeDocument/2006/relationships/image" Target="media/image30.png"/><Relationship Id="rId51" Type="http://schemas.openxmlformats.org/officeDocument/2006/relationships/image" Target="media/image29.png"/><Relationship Id="rId50" Type="http://schemas.openxmlformats.org/officeDocument/2006/relationships/image" Target="media/image28.png"/><Relationship Id="rId5" Type="http://schemas.openxmlformats.org/officeDocument/2006/relationships/header" Target="header1.xml"/><Relationship Id="rId49" Type="http://schemas.openxmlformats.org/officeDocument/2006/relationships/image" Target="media/image27.png"/><Relationship Id="rId48" Type="http://schemas.openxmlformats.org/officeDocument/2006/relationships/image" Target="media/image26.jpeg"/><Relationship Id="rId47" Type="http://schemas.openxmlformats.org/officeDocument/2006/relationships/image" Target="media/image25.png"/><Relationship Id="rId46" Type="http://schemas.openxmlformats.org/officeDocument/2006/relationships/image" Target="media/image24.png"/><Relationship Id="rId45" Type="http://schemas.openxmlformats.org/officeDocument/2006/relationships/image" Target="media/image23.png"/><Relationship Id="rId44" Type="http://schemas.openxmlformats.org/officeDocument/2006/relationships/image" Target="media/image22.png"/><Relationship Id="rId43" Type="http://schemas.openxmlformats.org/officeDocument/2006/relationships/image" Target="media/image21.emf"/><Relationship Id="rId42" Type="http://schemas.openxmlformats.org/officeDocument/2006/relationships/oleObject" Target="embeddings/oleObject1.bin"/><Relationship Id="rId41" Type="http://schemas.openxmlformats.org/officeDocument/2006/relationships/image" Target="media/image20.png"/><Relationship Id="rId40" Type="http://schemas.openxmlformats.org/officeDocument/2006/relationships/image" Target="media/image19.png"/><Relationship Id="rId4" Type="http://schemas.openxmlformats.org/officeDocument/2006/relationships/endnotes" Target="endnotes.xml"/><Relationship Id="rId39" Type="http://schemas.openxmlformats.org/officeDocument/2006/relationships/image" Target="media/image18.png"/><Relationship Id="rId38" Type="http://schemas.openxmlformats.org/officeDocument/2006/relationships/image" Target="media/image17.png"/><Relationship Id="rId37" Type="http://schemas.openxmlformats.org/officeDocument/2006/relationships/image" Target="media/image16.png"/><Relationship Id="rId36" Type="http://schemas.openxmlformats.org/officeDocument/2006/relationships/image" Target="media/image15.png"/><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footnotes" Target="footnotes.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jpe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jpeg"/><Relationship Id="rId21" Type="http://schemas.openxmlformats.org/officeDocument/2006/relationships/theme" Target="theme/theme1.xml"/><Relationship Id="rId20" Type="http://schemas.openxmlformats.org/officeDocument/2006/relationships/footer" Target="footer10.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5" Type="http://schemas.openxmlformats.org/officeDocument/2006/relationships/font" Target="fonts/font25.odttf"/><Relationship Id="rId24" Type="http://schemas.openxmlformats.org/officeDocument/2006/relationships/font" Target="fonts/font24.odttf"/><Relationship Id="rId23" Type="http://schemas.openxmlformats.org/officeDocument/2006/relationships/font" Target="fonts/font23.odttf"/><Relationship Id="rId22" Type="http://schemas.openxmlformats.org/officeDocument/2006/relationships/font" Target="fonts/font22.odttf"/><Relationship Id="rId21" Type="http://schemas.openxmlformats.org/officeDocument/2006/relationships/font" Target="fonts/font21.odttf"/><Relationship Id="rId20" Type="http://schemas.openxmlformats.org/officeDocument/2006/relationships/font" Target="fonts/font20.odttf"/><Relationship Id="rId2" Type="http://schemas.openxmlformats.org/officeDocument/2006/relationships/font" Target="fonts/font2.odttf"/><Relationship Id="rId19" Type="http://schemas.openxmlformats.org/officeDocument/2006/relationships/font" Target="fonts/font19.odttf"/><Relationship Id="rId18" Type="http://schemas.openxmlformats.org/officeDocument/2006/relationships/font" Target="fonts/font18.odttf"/><Relationship Id="rId17" Type="http://schemas.openxmlformats.org/officeDocument/2006/relationships/font" Target="fonts/font17.odttf"/><Relationship Id="rId16" Type="http://schemas.openxmlformats.org/officeDocument/2006/relationships/font" Target="fonts/font16.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396286fb-e028-4840-942d-a2949c544174</errorID>
      <errorWord>大人常委会</errorWord>
      <group>L1_Political</group>
      <groupName>政治性问题</groupName>
      <ability>L2_Unpolitical</ability>
      <abilityName>政治敏感错误</abilityName>
      <candidateList>
        <item>人大常委会</item>
      </candidateList>
      <explain/>
      <paraID>2543A025</paraID>
      <start>21</start>
      <end>26</end>
      <status>modified</status>
      <modifiedWord>人大常委会</modifiedWord>
      <trackRevisions>false</trackRevisions>
    </reviewItem>
    <reviewItem>
      <errorID>c2e18c49-ecb7-46bf-a425-983642e1982f</errorID>
      <errorWord>》</errorWord>
      <group>L1_Punc</group>
      <groupName>标点问题</groupName>
      <ability>L2_Punc</ability>
      <abilityName>标点符号检查</abilityName>
      <candidateList/>
      <explain/>
      <paraID>73AD5F18</paraID>
      <start>40</start>
      <end>41</end>
      <status>ignored</status>
      <modifiedWord/>
      <trackRevisions>false</trackRevisions>
    </reviewItem>
    <reviewItem>
      <errorID>3eb196d1-a0bb-42f3-b399-670ab70fb14a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5580BC0</paraID>
      <start>3</start>
      <end>4</end>
      <status>modified</status>
      <modifiedWord>—</modifiedWord>
      <trackRevisions>false</trackRevisions>
    </reviewItem>
    <reviewItem>
      <errorID>173516b5-3313-465d-a088-b0d5f209b1b4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5580BC6</paraID>
      <start>3</start>
      <end>4</end>
      <status>modified</status>
      <modifiedWord>—</modifiedWord>
      <trackRevisions>false</trackRevisions>
    </reviewItem>
    <reviewItem>
      <errorID>3878a84d-c5c2-43e8-9694-67fd38b23431</errorID>
      <errorWord>（</errorWord>
      <group>L1_Format</group>
      <groupName>格式问题</groupName>
      <ability>L2_HalfPunc</ability>
      <abilityName>全半角检查</abilityName>
      <candidateList>
        <item>(</item>
      </candidateList>
      <explain>文本全半角错误。</explain>
      <paraID> 5580BCC</paraID>
      <start>5</start>
      <end>6</end>
      <status>modified</status>
      <modifiedWord>(</modifiedWord>
      <trackRevisions>false</trackRevisions>
    </reviewItem>
    <reviewItem>
      <errorID>32e46f40-c7f4-41fc-ba96-424d57d8bb15</errorID>
      <errorWord>）</errorWord>
      <group>L1_Format</group>
      <groupName>格式问题</groupName>
      <ability>L2_HalfPunc</ability>
      <abilityName>全半角检查</abilityName>
      <candidateList>
        <item>)</item>
      </candidateList>
      <explain>文本全半角错误。</explain>
      <paraID> 5580BCC</paraID>
      <start>7</start>
      <end>8</end>
      <status>modified</status>
      <modifiedWord>)</modifiedWord>
      <trackRevisions>false</trackRevisions>
    </reviewItem>
    <reviewItem>
      <errorID>e41c159f-8a09-40bf-a21f-3f2fc148e8b5</errorID>
      <errorWord>:</errorWord>
      <group>L1_Format</group>
      <groupName>格式问题</groupName>
      <ability>L2_HalfPunc</ability>
      <abilityName>全半角检查</abilityName>
      <candidateList>
        <item>：</item>
      </candidateList>
      <explain>文本全半角错误。</explain>
      <paraID>58ECEC87</paraID>
      <start>17</start>
      <end>18</end>
      <status>modified</status>
      <modifiedWord>：</modifiedWord>
      <trackRevisions>false</trackRevisions>
    </reviewItem>
    <reviewItem>
      <errorID>7441294a-ab03-4a16-bb08-54279ebbc595</errorID>
      <errorWord>:</errorWord>
      <group>L1_Format</group>
      <groupName>格式问题</groupName>
      <ability>L2_HalfPunc</ability>
      <abilityName>全半角检查</abilityName>
      <candidateList>
        <item>：</item>
      </candidateList>
      <explain>文本全半角错误。</explain>
      <paraID>58ECEC87</paraID>
      <start>34</start>
      <end>35</end>
      <status>modified</status>
      <modifiedWord>：</modifiedWord>
      <trackRevisions>false</trackRevisions>
    </reviewItem>
    <reviewItem>
      <errorID>55deeeb3-0c1a-4fd3-a2f1-952e95bf7fdd</errorID>
      <errorWord>)</errorWord>
      <group>L1_Format</group>
      <groupName>格式问题</groupName>
      <ability>L2_HalfPunc</ability>
      <abilityName>全半角检查</abilityName>
      <candidateList>
        <item>）</item>
      </candidateList>
      <explain>文本全半角错误。</explain>
      <paraID> 1E81595</paraID>
      <start>146</start>
      <end>147</end>
      <status>modified</status>
      <modifiedWord>）</modifiedWord>
      <trackRevisions>false</trackRevisions>
    </reviewItem>
    <reviewItem>
      <errorID>57877510-86b6-4828-9652-c875934257ae</errorID>
      <errorWord>建</errorWord>
      <group>L1_Word</group>
      <groupName>字词问题</groupName>
      <ability>L2_Typo</ability>
      <abilityName>字词错误</abilityName>
      <candidateList>
        <item>建设</item>
      </candidateList>
      <explain>〈动〉创立新事业；增加新设施：经济～｜～家园｜～现代化强国◇组织～｜思想～。</explain>
      <paraID>5C519921</paraID>
      <start>22</start>
      <end>24</end>
      <status>modified</status>
      <modifiedWord>建设</modifiedWord>
      <trackRevisions>false</trackRevisions>
    </reviewItem>
    <reviewItem>
      <errorID>0098c337-ca46-481f-bca8-c701cd5a4a75</errorID>
      <errorWord>)</errorWord>
      <group>L1_Punc</group>
      <groupName>标点问题</groupName>
      <ability>L2_Punc</ability>
      <abilityName>标点符号检查</abilityName>
      <candidateList/>
      <explain>同一形式括号套用。</explain>
      <paraID>5C519921</paraID>
      <start>73</start>
      <end>74</end>
      <status>ignored</status>
      <modifiedWord/>
      <trackRevisions>false</trackRevisions>
    </reviewItem>
    <reviewItem>
      <errorID>6fbb67f4-f31c-417d-9d24-4c7a5385dbbd</errorID>
      <errorWord>)</errorWord>
      <group>L1_Format</group>
      <groupName>格式问题</groupName>
      <ability>L2_HalfPunc</ability>
      <abilityName>全半角检查</abilityName>
      <candidateList>
        <item>）</item>
      </candidateList>
      <explain>文本全半角错误。</explain>
      <paraID>5C519921</paraID>
      <start>89</start>
      <end>90</end>
      <status>modified</status>
      <modifiedWord>）</modifiedWord>
      <trackRevisions>false</trackRevisions>
    </reviewItem>
    <reviewItem>
      <errorID>4be2569e-4647-49c1-a2dd-23d0944573ae</errorID>
      <errorWord>;</errorWord>
      <group>L1_Format</group>
      <groupName>格式问题</groupName>
      <ability>L2_HalfPunc</ability>
      <abilityName>全半角检查</abilityName>
      <candidateList>
        <item>；</item>
      </candidateList>
      <explain>文本全半角错误。</explain>
      <paraID>5C519921</paraID>
      <start>108</start>
      <end>109</end>
      <status>modified</status>
      <modifiedWord>；</modifiedWord>
      <trackRevisions>false</trackRevisions>
    </reviewItem>
    <reviewItem>
      <errorID>c4b4b1c9-7fbc-47db-ba00-70b80bfb3adc</errorID>
      <errorWord>人</errorWord>
      <group>L1_Word</group>
      <groupName>字词问题</groupName>
      <ability>L2_Typo</ability>
      <abilityName>字词错误</abilityName>
      <candidateList>
        <item>人民</item>
      </candidateList>
      <explain>〈名〉以劳动群众为主体的社会基本成员。</explain>
      <paraID>48A5722F</paraID>
      <start>125</start>
      <end>127</end>
      <status>modified</status>
      <modifiedWord>人民</modifiedWord>
      <trackRevisions>false</trackRevisions>
    </reviewItem>
    <reviewItem>
      <errorID>1fb3e28c-3d99-4a24-9f02-5a9ed8b88885</errorID>
      <errorWord>，本</errorWord>
      <group>L1_Word</group>
      <groupName>字词问题</groupName>
      <ability>L2_Typo</ability>
      <abilityName>字词错误</abilityName>
      <candidateList>
        <item>，</item>
      </candidateList>
      <explain/>
      <paraID>594ECA56</paraID>
      <start>43</start>
      <end>44</end>
      <status>modified</status>
      <modifiedWord>，</modifiedWord>
      <trackRevisions>false</trackRevisions>
    </reviewItem>
    <reviewItem>
      <errorID>1351c6e5-9773-4297-9093-356ef3bb46bd</errorID>
      <errorWord>党中央国务院</errorWord>
      <group>L1_Political</group>
      <groupName>政治性问题</groupName>
      <ability>L2_Keyword</ability>
      <abilityName>固定表述</abilityName>
      <candidateList>
        <item>党中央、国务院</item>
      </candidateList>
      <explain>注意检查当前固定表述标点是否使用规范。</explain>
      <paraID>63A9BE80</paraID>
      <start>50</start>
      <end>57</end>
      <status>modified</status>
      <modifiedWord>党中央、国务院</modifiedWord>
      <trackRevisions>false</trackRevisions>
    </reviewItem>
    <reviewItem>
      <errorID>22d9e9a4-1401-452a-9468-da57bbf04833</errorID>
      <errorWord>省委省政府</errorWord>
      <group>L1_Political</group>
      <groupName>政治性问题</groupName>
      <ability>L2_Keyword</ability>
      <abilityName>固定表述</abilityName>
      <candidateList>
        <item>省委、省政府</item>
      </candidateList>
      <explain>注意检查当前固定表述标点是否使用规范。</explain>
      <paraID>63A9BE80</paraID>
      <start>58</start>
      <end>64</end>
      <status>modified</status>
      <modifiedWord>省委、省政府</modifiedWord>
      <trackRevisions>false</trackRevisions>
    </reviewItem>
    <reviewItem>
      <errorID>c19e2e46-758b-44e1-bf2a-d5377421436e</errorID>
      <errorWord>市委市政府</errorWord>
      <group>L1_Word</group>
      <groupName>字词问题</groupName>
      <ability>L2_Typo</ability>
      <abilityName>字词错误</abilityName>
      <candidateList>
        <item>市委、市政府</item>
      </candidateList>
      <explain/>
      <paraID>63A9BE80</paraID>
      <start>64</start>
      <end>70</end>
      <status>modified</status>
      <modifiedWord>市委、市政府</modifiedWord>
      <trackRevisions>false</trackRevisions>
    </reviewItem>
    <reviewItem>
      <errorID>70523961-9424-4367-aae0-58761ea0baf6</errorID>
      <errorWord>:</errorWord>
      <group>L1_Format</group>
      <groupName>格式问题</groupName>
      <ability>L2_HalfPunc</ability>
      <abilityName>全半角检查</abilityName>
      <candidateList>
        <item>：</item>
      </candidateList>
      <explain>文本全半角错误。</explain>
      <paraID>63A9BE80</paraID>
      <start>120</start>
      <end>121</end>
      <status>modified</status>
      <modifiedWord>：</modifiedWord>
      <trackRevisions>false</trackRevisions>
    </reviewItem>
    <reviewItem>
      <errorID>e884fa32-4dea-409e-bb4a-395a2f5d66eb</errorID>
      <errorWord>)</errorWord>
      <group>L1_Format</group>
      <groupName>格式问题</groupName>
      <ability>L2_HalfPunc</ability>
      <abilityName>全半角检查</abilityName>
      <candidateList>
        <item>）</item>
      </candidateList>
      <explain>文本全半角错误。</explain>
      <paraID>5CCF9C0D</paraID>
      <start>2</start>
      <end>3</end>
      <status>modified</status>
      <modifiedWord>）</modifiedWord>
      <trackRevisions>false</trackRevisions>
    </reviewItem>
    <reviewItem>
      <errorID>2f12c4e2-a08e-4623-adc9-e03ab19bc6f6</errorID>
      <errorWord>)</errorWord>
      <group>L1_Format</group>
      <groupName>格式问题</groupName>
      <ability>L2_HalfPunc</ability>
      <abilityName>全半角检查</abilityName>
      <candidateList>
        <item>）</item>
      </candidateList>
      <explain>文本全半角错误。</explain>
      <paraID>353CCAB5</paraID>
      <start>2</start>
      <end>3</end>
      <status>modified</status>
      <modifiedWord>）</modifiedWord>
      <trackRevisions>false</trackRevisions>
    </reviewItem>
    <reviewItem>
      <errorID>41d2de01-e171-4456-907b-cc39e63f7881</errorID>
      <errorWord>)</errorWord>
      <group>L1_Format</group>
      <groupName>格式问题</groupName>
      <ability>L2_HalfPunc</ability>
      <abilityName>全半角检查</abilityName>
      <candidateList>
        <item>）</item>
      </candidateList>
      <explain>文本全半角错误。</explain>
      <paraID>40B2FD40</paraID>
      <start>2</start>
      <end>3</end>
      <status>modified</status>
      <modifiedWord>）</modifiedWord>
      <trackRevisions>false</trackRevisions>
    </reviewItem>
    <reviewItem>
      <errorID>bed8a607-1a12-4f09-a843-028ef02dbea7</errorID>
      <errorWord>)</errorWord>
      <group>L1_Format</group>
      <groupName>格式问题</groupName>
      <ability>L2_HalfPunc</ability>
      <abilityName>全半角检查</abilityName>
      <candidateList>
        <item>）</item>
      </candidateList>
      <explain>文本全半角错误。</explain>
      <paraID>417ECE16</paraID>
      <start>2</start>
      <end>3</end>
      <status>modified</status>
      <modifiedWord>）</modifiedWord>
      <trackRevisions>false</trackRevisions>
    </reviewItem>
    <reviewItem>
      <errorID>f71eda72-ab7b-49d2-8e4c-e7771474b69f</errorID>
      <errorWord>)</errorWord>
      <group>L1_Format</group>
      <groupName>格式问题</groupName>
      <ability>L2_HalfPunc</ability>
      <abilityName>全半角检查</abilityName>
      <candidateList>
        <item>）</item>
      </candidateList>
      <explain>文本全半角错误。</explain>
      <paraID>4617603F</paraID>
      <start>2</start>
      <end>3</end>
      <status>modified</status>
      <modifiedWord>）</modifiedWord>
      <trackRevisions>false</trackRevisions>
    </reviewItem>
    <reviewItem>
      <errorID>6d7d424f-9890-4f0b-b1f5-8bb75e777ca1</errorID>
      <errorWord>)</errorWord>
      <group>L1_Format</group>
      <groupName>格式问题</groupName>
      <ability>L2_HalfPunc</ability>
      <abilityName>全半角检查</abilityName>
      <candidateList>
        <item>）</item>
      </candidateList>
      <explain>文本全半角错误。</explain>
      <paraID> 80BF7B7</paraID>
      <start>2</start>
      <end>3</end>
      <status>modified</status>
      <modifiedWord>）</modifiedWord>
      <trackRevisions>false</trackRevisions>
    </reviewItem>
    <reviewItem>
      <errorID>1a3a09cb-3cd0-4c5c-96e3-98ea76c51d17</errorID>
      <errorWord>)</errorWord>
      <group>L1_Format</group>
      <groupName>格式问题</groupName>
      <ability>L2_HalfPunc</ability>
      <abilityName>全半角检查</abilityName>
      <candidateList>
        <item>）</item>
      </candidateList>
      <explain>文本全半角错误。</explain>
      <paraID>5E0EDBDA</paraID>
      <start>2</start>
      <end>3</end>
      <status>modified</status>
      <modifiedWord>）</modifiedWord>
      <trackRevisions>false</trackRevisions>
    </reviewItem>
    <reviewItem>
      <errorID>66cdc671-b073-43b2-9434-5a51a65bbc4a</errorID>
      <errorWord>)</errorWord>
      <group>L1_Format</group>
      <groupName>格式问题</groupName>
      <ability>L2_HalfPunc</ability>
      <abilityName>全半角检查</abilityName>
      <candidateList>
        <item>）</item>
      </candidateList>
      <explain>文本全半角错误。</explain>
      <paraID> ADE261A</paraID>
      <start>2</start>
      <end>3</end>
      <status>modified</status>
      <modifiedWord>）</modifiedWord>
      <trackRevisions>false</trackRevisions>
    </reviewItem>
    <reviewItem>
      <errorID>4b9723af-7842-4e07-8102-d1e192c63897</errorID>
      <errorWord>)</errorWord>
      <group>L1_Format</group>
      <groupName>格式问题</groupName>
      <ability>L2_HalfPunc</ability>
      <abilityName>全半角检查</abilityName>
      <candidateList>
        <item>）</item>
      </candidateList>
      <explain>文本全半角错误。</explain>
      <paraID>2D40A58F</paraID>
      <start>2</start>
      <end>3</end>
      <status>modified</status>
      <modifiedWord>）</modifiedWord>
      <trackRevisions>false</trackRevisions>
    </reviewItem>
    <reviewItem>
      <errorID>feb0d5ab-736b-416f-8d8f-3fc024afc3f1</errorID>
      <errorWord>)</errorWord>
      <group>L1_Format</group>
      <groupName>格式问题</groupName>
      <ability>L2_HalfPunc</ability>
      <abilityName>全半角检查</abilityName>
      <candidateList>
        <item>）</item>
      </candidateList>
      <explain>文本全半角错误。</explain>
      <paraID> 4C2185F</paraID>
      <start>2</start>
      <end>3</end>
      <status>modified</status>
      <modifiedWord>）</modifiedWord>
      <trackRevisions>false</trackRevisions>
    </reviewItem>
    <reviewItem>
      <errorID>58e2c01a-c2c1-4dda-935c-161cddcf543a</errorID>
      <errorWord>,</errorWord>
      <group>L1_Format</group>
      <groupName>格式问题</groupName>
      <ability>L2_HalfPunc</ability>
      <abilityName>全半角检查</abilityName>
      <candidateList>
        <item>，</item>
      </candidateList>
      <explain>文本全半角错误。</explain>
      <paraID> 4C2185F</paraID>
      <start>46</start>
      <end>47</end>
      <status>modified</status>
      <modifiedWord>，</modifiedWord>
      <trackRevisions>false</trackRevisions>
    </reviewItem>
    <reviewItem>
      <errorID>e4ee1949-b8e0-4569-84e6-1cdcf4266f33</errorID>
      <errorWord>)</errorWord>
      <group>L1_Format</group>
      <groupName>格式问题</groupName>
      <ability>L2_HalfPunc</ability>
      <abilityName>全半角检查</abilityName>
      <candidateList>
        <item>）</item>
      </candidateList>
      <explain>文本全半角错误。</explain>
      <paraID>2BB271E9</paraID>
      <start>3</start>
      <end>4</end>
      <status>modified</status>
      <modifiedWord>）</modifiedWord>
      <trackRevisions>false</trackRevisions>
    </reviewItem>
    <reviewItem>
      <errorID>2ba1ff2a-d68d-436c-9bf9-570576522eba</errorID>
      <errorWord>)</errorWord>
      <group>L1_Format</group>
      <groupName>格式问题</groupName>
      <ability>L2_HalfPunc</ability>
      <abilityName>全半角检查</abilityName>
      <candidateList>
        <item>）</item>
      </candidateList>
      <explain>文本全半角错误。</explain>
      <paraID>5278F047</paraID>
      <start>3</start>
      <end>4</end>
      <status>modified</status>
      <modifiedWord>）</modifiedWord>
      <trackRevisions>false</trackRevisions>
    </reviewItem>
    <reviewItem>
      <errorID>b6424cff-d551-4017-b434-fa6d69243455</errorID>
      <errorWord>)</errorWord>
      <group>L1_Format</group>
      <groupName>格式问题</groupName>
      <ability>L2_HalfPunc</ability>
      <abilityName>全半角检查</abilityName>
      <candidateList>
        <item>）</item>
      </candidateList>
      <explain>文本全半角错误。</explain>
      <paraID>1115B343</paraID>
      <start>3</start>
      <end>4</end>
      <status>modified</status>
      <modifiedWord>）</modifiedWord>
      <trackRevisions>false</trackRevisions>
    </reviewItem>
    <reviewItem>
      <errorID>d7b88428-51d8-4226-8d51-c52e66aaec56</errorID>
      <errorWord>森林法</errorWord>
      <group>L1_Knowledge</group>
      <groupName>知识性问题</groupName>
      <ability>L2_Knowledge</ability>
      <abilityName>其他知识</abilityName>
      <candidateList>
        <item>中华人民共和国森林法</item>
      </candidateList>
      <explain>当前法律法规名称使用简称，请注意是否应当使用全称。</explain>
      <paraID>2D26E220</paraID>
      <start>1</start>
      <end>11</end>
      <status>modified</status>
      <modifiedWord>中华人民共和国森林法</modifiedWord>
      <trackRevisions>false</trackRevisions>
    </reviewItem>
    <reviewItem>
      <errorID>35f3e162-9673-4ae2-95af-801429a4aee6</errorID>
      <errorWord>平</errorWord>
      <group>L1_Word</group>
      <groupName>字词问题</groupName>
      <ability>L2_Typo</ability>
      <abilityName>字词错误</abilityName>
      <candidateList>
        <item>平方</item>
      </candidateList>
      <explain/>
      <paraID>64F9C4C7</paraID>
      <start>17</start>
      <end>19</end>
      <status>modified</status>
      <modifiedWord>平方</modifiedWord>
      <trackRevisions>false</trackRevisions>
    </reviewItem>
    <reviewItem>
      <errorID>d5696a19-7477-4f7a-93cf-51bba4b4cb2c</errorID>
      <errorWord>其它设备</errorWord>
      <group>L1_Word</group>
      <groupName>字词问题</groupName>
      <ability>L2_Alias</ability>
      <abilityName>也作/曾用词</abilityName>
      <candidateList>
        <item>其他设备</item>
      </candidateList>
      <explain>词汇[其它设备]为不规范表述或旧称，其规范书面表述为[其他设备]。</explain>
      <paraID>10CF805F</paraID>
      <start>0</start>
      <end>4</end>
      <status>modified</status>
      <modifiedWord>其他设备</modifiedWord>
      <trackRevisions>false</trackRevisions>
    </reviewItem>
    <reviewItem>
      <errorID>a3a5b8c8-d263-4cec-a42c-beeeadf797d2</errorID>
      <errorWord>是</errorWord>
      <group>L1_Word</group>
      <groupName>字词问题</groupName>
      <ability>L2_Typo</ability>
      <abilityName>字词错误</abilityName>
      <candidateList>
        <item>是一</item>
      </candidateList>
      <explain/>
      <paraID> 72FBC1C</paraID>
      <start>58</start>
      <end>60</end>
      <status>modified</status>
      <modifiedWord>是一</modifiedWord>
      <trackRevisions>false</trackRevisions>
    </reviewItem>
    <reviewItem>
      <errorID>89a2b4bd-9461-4f61-ba71-45becb56a40a</errorID>
      <errorWord>木里县</errorWord>
      <group>L1_Knowledge</group>
      <groupName>知识性问题</groupName>
      <ability>L2_Location</ability>
      <abilityName>地名检查</abilityName>
      <candidateList>
        <item>木里藏族自治县</item>
      </candidateList>
      <explain>自治区州县缩写不规范。《地名管理条例》第十八条规定，标识牌、公共平台发布的信息、各类公文证件、学习类公开出版物、地图、法律法规规定等场景范围内必须使用标准地名。</explain>
      <paraID> 72FBC1C</paraID>
      <start>121</start>
      <end>128</end>
      <status>modified</status>
      <modifiedWord>木里藏族自治县</modifiedWord>
      <trackRevisions>false</trackRevisions>
    </reviewItem>
    <reviewItem>
      <errorID>645b0f63-6e4e-4d86-9cfb-72925a5a877f</errorID>
      <errorWord>五位一体总体布局</errorWord>
      <group>L1_Political</group>
      <groupName>政治性问题</groupName>
      <ability>L2_Keyword</ability>
      <abilityName>固定表述</abilityName>
      <candidateList>
        <item>“五位一体”总体布局</item>
      </candidateList>
      <explain>注意检查当前固定表述标点是否使用规范。</explain>
      <paraID>5EBC09B7</paraID>
      <start>39</start>
      <end>49</end>
      <status>modified</status>
      <modifiedWord>“五位一体”总体布局</modifiedWord>
      <trackRevisions>false</trackRevisions>
    </reviewItem>
    <reviewItem>
      <errorID>a2c3c83b-8f1e-4bfb-8830-ae0f65b09fe0</errorID>
      <errorWord>义务植物</errorWord>
      <group>L1_Word</group>
      <groupName>字词问题</groupName>
      <ability>L2_Typo</ability>
      <abilityName>字词错误</abilityName>
      <candidateList>
        <item>义务植树</item>
      </candidateList>
      <explain/>
      <paraID>5EBC09B7</paraID>
      <start>142</start>
      <end>146</end>
      <status>modified</status>
      <modifiedWord>义务植树</modifiedWord>
      <trackRevisions>false</trackRevisions>
    </reviewItem>
    <reviewItem>
      <errorID>62169915-d886-4667-b4be-cee710271969</errorID>
      <errorWord>成为了</errorWord>
      <group>L1_Word</group>
      <groupName>字词问题</groupName>
      <ability>L2_Typo</ability>
      <abilityName>字词错误</abilityName>
      <candidateList>
        <item>成为</item>
      </candidateList>
      <explain>〈动〉变成：～先进工作者。</explain>
      <paraID>5EBC09B7</paraID>
      <start>254</start>
      <end>256</end>
      <status>modified</status>
      <modifiedWord>成为</modifiedWord>
      <trackRevisions>false</trackRevisions>
    </reviewItem>
    <reviewItem>
      <errorID>63904ab6-9aaa-4d60-8cb2-44eafb92615d</errorID>
      <errorWord>成为了</errorWord>
      <group>L1_Word</group>
      <groupName>字词问题</groupName>
      <ability>L2_Typo</ability>
      <abilityName>字词错误</abilityName>
      <candidateList>
        <item>成为</item>
      </candidateList>
      <explain>〈动〉变成：～先进工作者。</explain>
      <paraID>5EBC09B7</paraID>
      <start>280</start>
      <end>282</end>
      <status>modified</status>
      <modifiedWord>成为</modifiedWord>
      <trackRevisions>false</trackRevisions>
    </reviewItem>
    <reviewItem>
      <errorID>1326abe9-37fd-4b20-8188-559a44109378</errorID>
      <errorWord>国家林业局</errorWord>
      <group>L1_Knowledge</group>
      <groupName>知识性问题</groupName>
      <ability>L2_Organization</ability>
      <abilityName>机构检查</abilityName>
      <candidateList>
        <item>国家林业和草原局</item>
      </candidateList>
      <explain>2018年3月，中共中央印发了《深化党和国家机构改革方案》，将国家林业局的职责，整合到新组建的国家林业和草原局。</explain>
      <paraID>63FC7BB5</paraID>
      <start>65</start>
      <end>73</end>
      <status>modified</status>
      <modifiedWord>国家林业和草原局</modifiedWord>
      <trackRevisions>false</trackRevisions>
    </reviewItem>
    <reviewItem>
      <errorID>228cb556-0912-4b0e-89c9-746f0d0870bb</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63FC7BB5</paraID>
      <start>89</start>
      <end>90</end>
      <status>modified</status>
      <modifiedWord>—</modifiedWord>
      <trackRevisions>false</trackRevisions>
    </reviewItem>
    <reviewItem>
      <errorID>ee1c77e3-b773-4efa-a0c2-e8aa66cf81ea</errorID>
      <errorWord>)</errorWord>
      <group>L1_Format</group>
      <groupName>格式问题</groupName>
      <ability>L2_HalfPunc</ability>
      <abilityName>全半角检查</abilityName>
      <candidateList>
        <item>）</item>
      </candidateList>
      <explain>文本全半角错误。</explain>
      <paraID>63FC7BB5</paraID>
      <start>95</start>
      <end>96</end>
      <status>modified</status>
      <modifiedWord>）</modifiedWord>
      <trackRevisions>false</trackRevisions>
    </reviewItem>
    <reviewItem>
      <errorID>1351608d-7c28-44fe-a909-3b9bbeb33110</errorID>
      <errorWord>湖南省省委</errorWord>
      <group>L1_Political</group>
      <groupName>政治性问题</groupName>
      <ability>L2_Unpolitical</ability>
      <abilityName>政治敏感错误</abilityName>
      <candidateList>
        <item>湖南省委</item>
      </candidateList>
      <explain/>
      <paraID>7B4613F7</paraID>
      <start>0</start>
      <end>4</end>
      <status>modified</status>
      <modifiedWord>湖南省委</modifiedWord>
      <trackRevisions>false</trackRevisions>
    </reviewItem>
    <reviewItem>
      <errorID>c7ef3951-9f83-446a-b57c-df5eba44c86e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7B4613F7</paraID>
      <start>255</start>
      <end>256</end>
      <status>modified</status>
      <modifiedWord>—</modifiedWord>
      <trackRevisions>false</trackRevisions>
    </reviewItem>
    <reviewItem>
      <errorID>99bac8f1-0b43-44d8-8b78-bad8615780ec</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6B157506</paraID>
      <start>118</start>
      <end>119</end>
      <status>modified</status>
      <modifiedWord>—</modifiedWord>
      <trackRevisions>false</trackRevisions>
    </reviewItem>
    <reviewItem>
      <errorID>001eeb22-1e48-4423-a6ce-a005a35f1c2e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6B157506</paraID>
      <start>183</start>
      <end>185</end>
      <status>modified</status>
      <modifiedWord>”“</modifiedWord>
      <trackRevisions>false</trackRevisions>
    </reviewItem>
    <reviewItem>
      <errorID>e8515ee2-8ef2-4849-8324-defa6c5fbd00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6B157506</paraID>
      <start>188</start>
      <end>190</end>
      <status>modified</status>
      <modifiedWord>”“</modifiedWord>
      <trackRevisions>false</trackRevisions>
    </reviewItem>
    <reviewItem>
      <errorID>8a195747-d504-4955-8f71-9c79fb2b40f6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12A66BD3</paraID>
      <start>19</start>
      <end>20</end>
      <status>modified</status>
      <modifiedWord>—</modifiedWord>
      <trackRevisions>false</trackRevisions>
    </reviewItem>
    <reviewItem>
      <errorID>8654e429-f007-417c-877a-440c9c37dce0</errorID>
      <errorWord>存</errorWord>
      <group>L1_Word</group>
      <groupName>字词问题</groupName>
      <ability>L2_Typo</ability>
      <abilityName>字词错误</abilityName>
      <candidateList>
        <item>存在</item>
      </candidateList>
      <explain/>
      <paraID>463B4BC2</paraID>
      <start>30</start>
      <end>32</end>
      <status>modified</status>
      <modifiedWord>存在</modifiedWord>
      <trackRevisions>false</trackRevisions>
    </reviewItem>
    <reviewItem>
      <errorID>c7c3a67a-53c0-4754-8f62-59e54ea43f15</errorID>
      <errorWord>囯</errorWord>
      <group>L1_Word</group>
      <groupName>字词问题</groupName>
      <ability>L2_Typo</ability>
      <abilityName>字词错误</abilityName>
      <candidateList>
        <item>国</item>
      </candidateList>
      <explain/>
      <paraID> 89D86FA</paraID>
      <start>61</start>
      <end>62</end>
      <status>modified</status>
      <modifiedWord>国</modifiedWord>
      <trackRevisions>false</trackRevisions>
    </reviewItem>
    <reviewItem>
      <errorID>713e092e-13db-451e-85c6-387a917202cd</errorID>
      <errorWord>重要批示指示</errorWord>
      <group>L1_Political</group>
      <groupName>政治性问题</groupName>
      <ability>L2_Unpolitical</ability>
      <abilityName>政治敏感错误</abilityName>
      <candidateList>
        <item>重要指示批示</item>
      </candidateList>
      <explain/>
      <paraID> 89D86FA</paraID>
      <start>96</start>
      <end>102</end>
      <status>modified</status>
      <modifiedWord>重要指示批示</modifiedWord>
      <trackRevisions>false</trackRevisions>
    </reviewItem>
    <reviewItem>
      <errorID>e9cda761-aee6-478d-9053-0301b8810920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15A2F759</paraID>
      <start>244</start>
      <end>245</end>
      <status>modified</status>
      <modifiedWord>地</modifiedWord>
      <trackRevisions>false</trackRevisions>
    </reviewItem>
    <reviewItem>
      <errorID>d82e3598-4ce2-4cbd-ab3e-3b7fc764319e</errorID>
      <errorWord>中三角</errorWord>
      <group>L1_Word</group>
      <groupName>字词问题</groupName>
      <ability>L2_Typo</ability>
      <abilityName>字词错误</abilityName>
      <candidateList>
        <item>长三角</item>
      </candidateList>
      <explain/>
      <paraID>5178972D</paraID>
      <start>92</start>
      <end>95</end>
      <status>modified</status>
      <modifiedWord>长三角</modifiedWord>
      <trackRevisions>false</trackRevisions>
    </reviewItem>
    <reviewItem>
      <errorID>5cc39095-d8c5-4acd-95b1-7fc692881ddd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4B59FACE</paraID>
      <start>60</start>
      <end>61</end>
      <status>modified</status>
      <modifiedWord>—</modifiedWord>
      <trackRevisions>false</trackRevisions>
    </reviewItem>
    <reviewItem>
      <errorID>2b7cd9fb-de26-4ca1-b7f4-c2701cd8b09c</errorID>
      <errorWord>)</errorWord>
      <group>L1_Format</group>
      <groupName>格式问题</groupName>
      <ability>L2_HalfPunc</ability>
      <abilityName>全半角检查</abilityName>
      <candidateList>
        <item>）</item>
      </candidateList>
      <explain>文本全半角错误。</explain>
      <paraID>4B59FACE</paraID>
      <start>66</start>
      <end>67</end>
      <status>modified</status>
      <modifiedWord>）</modifiedWord>
      <trackRevisions>false</trackRevisions>
    </reviewItem>
    <reviewItem>
      <errorID>72f417ce-f282-4374-9934-4b7e9ec0b86c</errorID>
      <errorWord>（，</errorWord>
      <group>L1_Punc</group>
      <groupName>标点问题</groupName>
      <ability>L2_Punc</ability>
      <abilityName>标点符号检查</abilityName>
      <candidateList>
        <item>（</item>
      </candidateList>
      <explain/>
      <paraID>4AD3DA8B</paraID>
      <start>40</start>
      <end>41</end>
      <status>modified</status>
      <modifiedWord>（</modifiedWord>
      <trackRevisions>false</trackRevisions>
    </reviewItem>
    <reviewItem>
      <errorID>77fafc6e-54f0-492e-85cb-5354f5811879</errorID>
      <errorWord>-</errorWord>
      <group>L1_Format</group>
      <groupName>格式问题</groupName>
      <ability>L2_HalfPunc</ability>
      <abilityName>全半角检查</abilityName>
      <candidateList>
        <item>－</item>
      </candidateList>
      <explain>文本全半角错误。</explain>
      <paraID>790DED79</paraID>
      <start>19</start>
      <end>20</end>
      <status>modified</status>
      <modifiedWord>－</modifiedWord>
      <trackRevisions>false</trackRevisions>
    </reviewItem>
    <reviewItem>
      <errorID>c661fa86-79b4-4356-9a02-43a28075c4ff</errorID>
      <errorWord>-</errorWord>
      <group>L1_Format</group>
      <groupName>格式问题</groupName>
      <ability>L2_HalfPunc</ability>
      <abilityName>全半角检查</abilityName>
      <candidateList>
        <item>－</item>
      </candidateList>
      <explain>文本全半角错误。</explain>
      <paraID>790DED79</paraID>
      <start>22</start>
      <end>23</end>
      <status>modified</status>
      <modifiedWord>－</modifiedWord>
      <trackRevisions>false</trackRevisions>
    </reviewItem>
    <reviewItem>
      <errorID>390280bd-4e19-4271-8f9a-f38f826ff760</errorID>
      <errorWord>-</errorWord>
      <group>L1_Format</group>
      <groupName>格式问题</groupName>
      <ability>L2_HalfPunc</ability>
      <abilityName>全半角检查</abilityName>
      <candidateList>
        <item>－</item>
      </candidateList>
      <explain>文本全半角错误。</explain>
      <paraID>790DED79</paraID>
      <start>25</start>
      <end>26</end>
      <status>modified</status>
      <modifiedWord>－</modifiedWord>
      <trackRevisions>false</trackRevisions>
    </reviewItem>
    <reviewItem>
      <errorID>d2d33379-e236-4386-be7a-ac2a73886b9d</errorID>
      <errorWord>5%-15%</errorWord>
      <group>L1_Knowledge</group>
      <groupName>知识性问题</groupName>
      <ability>L2_Knowledge</ability>
      <abilityName>其他知识</abilityName>
      <candidateList>
        <item>5%—15%</item>
      </candidateList>
      <explain>1. “5%-15%”中的单位“%”仅出现在后一个数字上，容易引起歧义；根据《现代汉语标点符号数字用法规范手册》，数字表示范围两边需要使用统一的格式。2. 根据标点国标 4.13 中的规则，数字、时间或地域连接符应使用（视觉上更长的）“—”或“～”。</explain>
      <paraID> 448EB28</paraID>
      <start>220</start>
      <end>226</end>
      <status>modified</status>
      <modifiedWord>5%—15%</modifiedWord>
      <trackRevisions>false</trackRevisions>
    </reviewItem>
    <reviewItem>
      <errorID>32d8d6a6-11e0-48dc-802f-eb4709a6154b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37C80115</paraID>
      <start>0</start>
      <end>2</end>
      <status>modified</status>
      <modifiedWord>1.</modifiedWord>
      <trackRevisions>false</trackRevisions>
    </reviewItem>
    <reviewItem>
      <errorID>84d17aa5-1c64-4673-8b3a-8694883b9f28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56D108D0</paraID>
      <start>0</start>
      <end>2</end>
      <status>modified</status>
      <modifiedWord>2.</modifiedWord>
      <trackRevisions>false</trackRevisions>
    </reviewItem>
    <reviewItem>
      <errorID>8928c821-048c-46f1-8f6b-28f027290f1f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6048FF0C</paraID>
      <start>0</start>
      <end>2</end>
      <status>modified</status>
      <modifiedWord>3.</modifiedWord>
      <trackRevisions>false</trackRevisions>
    </reviewItem>
    <reviewItem>
      <errorID>662ecc55-e6c9-4620-a762-4d4d3f359a61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135B2883</paraID>
      <start>1</start>
      <end>3</end>
      <status>modified</status>
      <modifiedWord>1.</modifiedWord>
      <trackRevisions>false</trackRevisions>
    </reviewItem>
    <reviewItem>
      <errorID>90533a19-8eee-4581-b592-b729e5e64575</errorID>
      <errorWord>-</errorWord>
      <group>L1_Format</group>
      <groupName>格式问题</groupName>
      <ability>L2_HalfPunc</ability>
      <abilityName>全半角检查</abilityName>
      <candidateList>
        <item>－</item>
      </candidateList>
      <explain>文本全半角错误。</explain>
      <paraID>135B2883</paraID>
      <start>6</start>
      <end>7</end>
      <status>modified</status>
      <modifiedWord>－</modifiedWord>
      <trackRevisions>false</trackRevisions>
    </reviewItem>
    <reviewItem>
      <errorID>b6139492-4635-4d8e-9ad7-6c88cbe71ed9</errorID>
      <errorWord>-</errorWord>
      <group>L1_Format</group>
      <groupName>格式问题</groupName>
      <ability>L2_HalfPunc</ability>
      <abilityName>全半角检查</abilityName>
      <candidateList>
        <item>－</item>
      </candidateList>
      <explain>文本全半角错误。</explain>
      <paraID>135B2883</paraID>
      <start>9</start>
      <end>10</end>
      <status>modified</status>
      <modifiedWord>－</modifiedWord>
      <trackRevisions>false</trackRevisions>
    </reviewItem>
    <reviewItem>
      <errorID>380f36ca-c774-4782-9a24-93accb5c5d9d</errorID>
      <errorWord>-</errorWord>
      <group>L1_Format</group>
      <groupName>格式问题</groupName>
      <ability>L2_HalfPunc</ability>
      <abilityName>全半角检查</abilityName>
      <candidateList>
        <item>－</item>
      </candidateList>
      <explain>文本全半角错误。</explain>
      <paraID>51516CE8</paraID>
      <start>8</start>
      <end>9</end>
      <status>modified</status>
      <modifiedWord>－</modifiedWord>
      <trackRevisions>false</trackRevisions>
    </reviewItem>
    <reviewItem>
      <errorID>3dca829b-f69d-4690-93b6-56ac6bd53de4</errorID>
      <errorWord>-</errorWord>
      <group>L1_Format</group>
      <groupName>格式问题</groupName>
      <ability>L2_HalfPunc</ability>
      <abilityName>全半角检查</abilityName>
      <candidateList>
        <item>－</item>
      </candidateList>
      <explain>文本全半角错误。</explain>
      <paraID>51516CE8</paraID>
      <start>11</start>
      <end>12</end>
      <status>modified</status>
      <modifiedWord>－</modifiedWord>
      <trackRevisions>false</trackRevisions>
    </reviewItem>
    <reviewItem>
      <errorID>8225ab62-58f1-4401-a099-9e80a89c5ea4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638CCD75</paraID>
      <start>1</start>
      <end>3</end>
      <status>modified</status>
      <modifiedWord>2.</modifiedWord>
      <trackRevisions>false</trackRevisions>
    </reviewItem>
    <reviewItem>
      <errorID>9dd92207-8ab4-46a4-8dfa-39b84c466e60</errorID>
      <errorWord>-</errorWord>
      <group>L1_Format</group>
      <groupName>格式问题</groupName>
      <ability>L2_HalfPunc</ability>
      <abilityName>全半角检查</abilityName>
      <candidateList>
        <item>－</item>
      </candidateList>
      <explain>文本全半角错误。</explain>
      <paraID>638CCD75</paraID>
      <start>6</start>
      <end>7</end>
      <status>modified</status>
      <modifiedWord>－</modifiedWord>
      <trackRevisions>false</trackRevisions>
    </reviewItem>
    <reviewItem>
      <errorID>7ccaac20-6c5e-41df-92e4-2121b30b83e3</errorID>
      <errorWord>-</errorWord>
      <group>L1_Format</group>
      <groupName>格式问题</groupName>
      <ability>L2_HalfPunc</ability>
      <abilityName>全半角检查</abilityName>
      <candidateList>
        <item>－</item>
      </candidateList>
      <explain>文本全半角错误。</explain>
      <paraID>638CCD75</paraID>
      <start>9</start>
      <end>10</end>
      <status>modified</status>
      <modifiedWord>－</modifiedWord>
      <trackRevisions>false</trackRevisions>
    </reviewItem>
    <reviewItem>
      <errorID>1e6ce1b1-7f37-40e3-a125-c82b2b726b75</errorID>
      <errorWord>-</errorWord>
      <group>L1_Format</group>
      <groupName>格式问题</groupName>
      <ability>L2_HalfPunc</ability>
      <abilityName>全半角检查</abilityName>
      <candidateList>
        <item>－</item>
      </candidateList>
      <explain>文本全半角错误。</explain>
      <paraID>18D683E9</paraID>
      <start>10</start>
      <end>11</end>
      <status>modified</status>
      <modifiedWord>－</modifiedWord>
      <trackRevisions>false</trackRevisions>
    </reviewItem>
    <reviewItem>
      <errorID>6fa9aeaf-2eeb-480d-a4a0-bbc09813c65e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111BD70E</paraID>
      <start>0</start>
      <end>2</end>
      <status>modified</status>
      <modifiedWord>3.</modifiedWord>
      <trackRevisions>false</trackRevisions>
    </reviewItem>
    <reviewItem>
      <errorID>8e420870-f708-414f-8255-738b1a1c18d4</errorID>
      <errorWord>-</errorWord>
      <group>L1_Format</group>
      <groupName>格式问题</groupName>
      <ability>L2_HalfPunc</ability>
      <abilityName>全半角检查</abilityName>
      <candidateList>
        <item>－</item>
      </candidateList>
      <explain>文本全半角错误。</explain>
      <paraID>111BD70E</paraID>
      <start>5</start>
      <end>6</end>
      <status>modified</status>
      <modifiedWord>－</modifiedWord>
      <trackRevisions>false</trackRevisions>
    </reviewItem>
    <reviewItem>
      <errorID>0fdc9d50-cad0-47a6-b5fd-1dd7effa1196</errorID>
      <errorWord>-</errorWord>
      <group>L1_Format</group>
      <groupName>格式问题</groupName>
      <ability>L2_HalfPunc</ability>
      <abilityName>全半角检查</abilityName>
      <candidateList>
        <item>－</item>
      </candidateList>
      <explain>文本全半角错误。</explain>
      <paraID>111BD70E</paraID>
      <start>8</start>
      <end>9</end>
      <status>modified</status>
      <modifiedWord>－</modifiedWord>
      <trackRevisions>false</trackRevisions>
    </reviewItem>
    <reviewItem>
      <errorID>e9147e28-b693-426b-a173-f409b1296abc</errorID>
      <errorWord>-</errorWord>
      <group>L1_Format</group>
      <groupName>格式问题</groupName>
      <ability>L2_HalfPunc</ability>
      <abilityName>全半角检查</abilityName>
      <candidateList>
        <item>－</item>
      </candidateList>
      <explain>文本全半角错误。</explain>
      <paraID>  69B907</paraID>
      <start>10</start>
      <end>11</end>
      <status>modified</status>
      <modifiedWord>－</modifiedWord>
      <trackRevisions>false</trackRevisions>
    </reviewItem>
    <reviewItem>
      <errorID>b37b55a7-11e4-4b1f-b73e-c5d8f3d45a37</errorID>
      <errorWord>-</errorWord>
      <group>L1_Format</group>
      <groupName>格式问题</groupName>
      <ability>L2_HalfPunc</ability>
      <abilityName>全半角检查</abilityName>
      <candidateList>
        <item>－</item>
      </candidateList>
      <explain>文本全半角错误。</explain>
      <paraID>  69B907</paraID>
      <start>15</start>
      <end>16</end>
      <status>modified</status>
      <modifiedWord>－</modifiedWord>
      <trackRevisions>false</trackRevisions>
    </reviewItem>
    <reviewItem>
      <errorID>c4500250-5059-4a2b-bc77-074f3d863e8b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179458BC</paraID>
      <start>0</start>
      <end>2</end>
      <status>modified</status>
      <modifiedWord>1.</modifiedWord>
      <trackRevisions>false</trackRevisions>
    </reviewItem>
    <reviewItem>
      <errorID>e51f65a8-73f2-42be-90eb-b14794208b82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37B69A91</paraID>
      <start>0</start>
      <end>2</end>
      <status>modified</status>
      <modifiedWord>2.</modifiedWord>
      <trackRevisions>false</trackRevisions>
    </reviewItem>
    <reviewItem>
      <errorID>ddfc296e-653b-4db1-b170-da9b30e08e38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10DE0C95</paraID>
      <start>0</start>
      <end>2</end>
      <status>modified</status>
      <modifiedWord>3.</modifiedWord>
      <trackRevisions>false</trackRevisions>
    </reviewItem>
    <reviewItem>
      <errorID>a186b399-d6d0-4410-997c-bafdc562e4a4</errorID>
      <errorWord>-</errorWord>
      <group>L1_Format</group>
      <groupName>格式问题</groupName>
      <ability>L2_HalfPunc</ability>
      <abilityName>全半角检查</abilityName>
      <candidateList>
        <item>－</item>
      </candidateList>
      <explain>文本全半角错误。</explain>
      <paraID>10DE0C95</paraID>
      <start>19</start>
      <end>20</end>
      <status>modified</status>
      <modifiedWord>－</modifiedWord>
      <trackRevisions>false</trackRevisions>
    </reviewItem>
    <reviewItem>
      <errorID>65635d2f-cf4d-4646-8734-a101d1e9576f</errorID>
      <errorWord>-</errorWord>
      <group>L1_Format</group>
      <groupName>格式问题</groupName>
      <ability>L2_HalfPunc</ability>
      <abilityName>全半角检查</abilityName>
      <candidateList>
        <item>－</item>
      </candidateList>
      <explain>文本全半角错误。</explain>
      <paraID>10DE0C95</paraID>
      <start>22</start>
      <end>23</end>
      <status>modified</status>
      <modifiedWord>－</modifiedWord>
      <trackRevisions>false</trackRevisions>
    </reviewItem>
    <reviewItem>
      <errorID>bf8afdcd-0c78-40b7-809e-f8459de72c21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4F6E0265</paraID>
      <start>0</start>
      <end>2</end>
      <status>modified</status>
      <modifiedWord>4.</modifiedWord>
      <trackRevisions>false</trackRevisions>
    </reviewItem>
    <reviewItem>
      <errorID>d1523869-e619-4e6f-bc66-f717325e3241</errorID>
      <errorWord>)</errorWord>
      <group>L1_Format</group>
      <groupName>格式问题</groupName>
      <ability>L2_HalfPunc</ability>
      <abilityName>全半角检查</abilityName>
      <candidateList>
        <item>）</item>
      </candidateList>
      <explain>文本全半角错误。</explain>
      <paraID>722C8A79</paraID>
      <start>15</start>
      <end>16</end>
      <status>modified</status>
      <modifiedWord>）</modifiedWord>
      <trackRevisions>false</trackRevisions>
    </reviewItem>
    <reviewItem>
      <errorID>5cde0072-5b38-4beb-88e1-c650ac913d5e</errorID>
      <errorWord>)</errorWord>
      <group>L1_Format</group>
      <groupName>格式问题</groupName>
      <ability>L2_HalfPunc</ability>
      <abilityName>全半角检查</abilityName>
      <candidateList>
        <item>）</item>
      </candidateList>
      <explain>文本全半角错误。</explain>
      <paraID> CE79D15</paraID>
      <start>24</start>
      <end>25</end>
      <status>modified</status>
      <modifiedWord>）</modifiedWord>
      <trackRevisions>false</trackRevisions>
    </reviewItem>
    <reviewItem>
      <errorID>21334aba-1968-49c7-b5af-01ec2538a42c</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65EBD20D</paraID>
      <start>19</start>
      <end>20</end>
      <status>modified</status>
      <modifiedWord>—</modifiedWord>
      <trackRevisions>false</trackRevisions>
    </reviewItem>
    <reviewItem>
      <errorID>f9e82e01-26cf-4c13-ab8d-118523a9ea8e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8EE26A9</paraID>
      <start>0</start>
      <end>2</end>
      <status>modified</status>
      <modifiedWord>1.</modifiedWord>
      <trackRevisions>false</trackRevisions>
    </reviewItem>
    <reviewItem>
      <errorID>b1ffdf76-4af1-4f31-aaa7-a739f43d12be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1B22FC7</paraID>
      <start>0</start>
      <end>2</end>
      <status>modified</status>
      <modifiedWord>2.</modifiedWord>
      <trackRevisions>false</trackRevisions>
    </reviewItem>
    <reviewItem>
      <errorID>aab7748b-d3eb-483d-bf09-ca3694b45b76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5D20EE28</paraID>
      <start>0</start>
      <end>2</end>
      <status>modified</status>
      <modifiedWord>3.</modifiedWord>
      <trackRevisions>false</trackRevisions>
    </reviewItem>
    <reviewItem>
      <errorID>77cc364e-c71a-4b37-86f9-b151496a3835</errorID>
      <errorWord>靠</errorWord>
      <group>L1_Word</group>
      <groupName>字词问题</groupName>
      <ability>L2_Typo</ability>
      <abilityName>字词错误</abilityName>
      <candidateList>
        <item>靠性</item>
      </candidateList>
      <explain/>
      <paraID> 1A948E0</paraID>
      <start>40</start>
      <end>42</end>
      <status>modified</status>
      <modifiedWord>靠性</modifiedWord>
      <trackRevisions>false</trackRevisions>
    </reviewItem>
    <reviewItem>
      <errorID>7c965683-bc0a-4eeb-b948-be1c2aafd43e</errorID>
      <errorWord>游</errorWord>
      <group>L1_Word</group>
      <groupName>字词问题</groupName>
      <ability>L2_Typo</ability>
      <abilityName>字词错误</abilityName>
      <candidateList>
        <item>游景</item>
      </candidateList>
      <explain/>
      <paraID>64725F60</paraID>
      <start>5</start>
      <end>7</end>
      <status>modified</status>
      <modifiedWord>游景</modifiedWord>
      <trackRevisions>false</trackRevisions>
    </reviewItem>
    <reviewItem>
      <errorID>c2bf5aae-9b1e-4a2f-b3a9-c4a19ea39cc1</errorID>
      <errorWord>确</errorWord>
      <group>L1_Word</group>
      <groupName>字词问题</groupName>
      <ability>L2_Typo</ability>
      <abilityName>字词错误</abilityName>
      <candidateList>
        <item>确保</item>
      </candidateList>
      <explain>〈动〉确实地保持或保证：～交通畅通｜加强田间管理，～粮食丰收。</explain>
      <paraID>26A9C346</paraID>
      <start>82</start>
      <end>84</end>
      <status>modified</status>
      <modifiedWord>确保</modifiedWord>
      <trackRevisions>false</trackRevisions>
    </reviewItem>
    <reviewItem>
      <errorID>4746d76f-053b-4cc5-80a3-cddb7c879716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79DB4B90</paraID>
      <start>60</start>
      <end>61</end>
      <status>modified</status>
      <modifiedWord>—</modifiedWord>
      <trackRevisions>false</trackRevisions>
    </reviewItem>
    <reviewItem>
      <errorID>d834d239-84f2-4c9d-b724-34ab985bbd86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79DB4B90</paraID>
      <start>67</start>
      <end>69</end>
      <status>modified</status>
      <modifiedWord>》《</modifiedWord>
      <trackRevisions>false</trackRevisions>
    </reviewItem>
    <reviewItem>
      <errorID>1f4649e2-511f-4ab3-909e-96ff280c32cb</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79DB4B90</paraID>
      <start>83</start>
      <end>84</end>
      <status>modified</status>
      <modifiedWord>—</modifiedWord>
      <trackRevisions>false</trackRevisions>
    </reviewItem>
    <reviewItem>
      <errorID>1fdbc2ec-8041-41dc-80a9-9fbc3630af59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64B878E2</paraID>
      <start>57</start>
      <end>59</end>
      <status>modified</status>
      <modifiedWord>》《</modifiedWord>
      <trackRevisions>false</trackRevisions>
    </reviewItem>
    <reviewItem>
      <errorID>b800bd4f-bc96-4262-aca9-56eca340db50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64B878E2</paraID>
      <start>65</start>
      <end>67</end>
      <status>modified</status>
      <modifiedWord>》《</modifiedWord>
      <trackRevisions>false</trackRevisions>
    </reviewItem>
    <reviewItem>
      <errorID>329c5bb9-0006-437b-8807-7d0d97afe7c4</errorID>
      <errorWord>优先选择在</errorWord>
      <group>L1_Word</group>
      <groupName>字词问题</groupName>
      <ability>L2_Typo</ability>
      <abilityName>字词错误</abilityName>
      <candidateList>
        <item>优先选择</item>
      </candidateList>
      <explain/>
      <paraID>4F0A6EE4</paraID>
      <start>46</start>
      <end>50</end>
      <status>modified</status>
      <modifiedWord>优先选择</modifiedWord>
      <trackRevisions>false</trackRevisions>
    </reviewItem>
    <reviewItem>
      <errorID>5ce68e96-5f67-4190-b2fd-531731ceae26</errorID>
      <errorWord>II型</errorWord>
      <group>L1_Knowledge</group>
      <groupName>知识性问题</groupName>
      <ability>L2_Knowledge</ability>
      <abilityName>其他知识</abilityName>
      <candidateList>
        <item>Ⅱ型</item>
      </candidateList>
      <explain/>
      <paraID>6052AA01</paraID>
      <start>172</start>
      <end>174</end>
      <status>modified</status>
      <modifiedWord>Ⅱ型</modifiedWord>
      <trackRevisions>false</trackRevisions>
    </reviewItem>
    <reviewItem>
      <errorID>d313f414-4375-4443-ac5b-de5df670b3d6</errorID>
      <errorWord>，，</errorWord>
      <group>L1_Punc</group>
      <groupName>标点问题</groupName>
      <ability>L2_Punc</ability>
      <abilityName>标点符号检查</abilityName>
      <candidateList>
        <item>，</item>
      </candidateList>
      <explain/>
      <paraID>253F6263</paraID>
      <start>52</start>
      <end>53</end>
      <status>modified</status>
      <modifiedWord>，</modifiedWord>
      <trackRevisions>false</trackRevisions>
    </reviewItem>
    <reviewItem>
      <errorID>57ab1ad5-d2bf-4256-b30d-e95ee2d70016</errorID>
      <errorWord>干扰能</errorWord>
      <group>L1_Knowledge</group>
      <groupName>知识性问题</groupName>
      <ability>L2_Term</ability>
      <abilityName>专业术语</abilityName>
      <candidateList>
        <item>干扰素</item>
      </candidateList>
      <explain>医学名词[干扰能]为不规范表述或旧称，其规范书面表述为[干扰素]。</explain>
      <paraID>174EBB5C</paraID>
      <start>47</start>
      <end>50</end>
      <status>ignored</status>
      <modifiedWord/>
      <trackRevisions>false</trackRevisions>
    </reviewItem>
    <reviewItem>
      <errorID>9e29f6c4-3f0a-43bb-be27-37fd3abf50ba</errorID>
      <errorWord>需具备</errorWord>
      <group>L1_Word</group>
      <groupName>字词问题</groupName>
      <ability>L2_Typo</ability>
      <abilityName>字词错误</abilityName>
      <candidateList>
        <item>须具备</item>
      </candidateList>
      <explain/>
      <paraID>1A7B09D6</paraID>
      <start>4</start>
      <end>7</end>
      <status>modified</status>
      <modifiedWord>须具备</modifiedWord>
      <trackRevisions>false</trackRevisions>
    </reviewItem>
    <reviewItem>
      <errorID>86b82fbe-f1cf-40f1-8342-42e2e3458849</errorID>
      <errorWord>:</errorWord>
      <group>L1_Format</group>
      <groupName>格式问题</groupName>
      <ability>L2_HalfPunc</ability>
      <abilityName>全半角检查</abilityName>
      <candidateList>
        <item>：</item>
      </candidateList>
      <explain>文本全半角错误。</explain>
      <paraID>36F9FAED</paraID>
      <start>19</start>
      <end>20</end>
      <status>modified</status>
      <modifiedWord>：</modifiedWord>
      <trackRevisions>false</trackRevisions>
    </reviewItem>
    <reviewItem>
      <errorID>bf253a38-131c-4eec-9bef-ca7d72deea64</errorID>
      <errorWord>:</errorWord>
      <group>L1_Format</group>
      <groupName>格式问题</groupName>
      <ability>L2_HalfPunc</ability>
      <abilityName>全半角检查</abilityName>
      <candidateList>
        <item>：</item>
      </candidateList>
      <explain>文本全半角错误。</explain>
      <paraID>36F9FAED</paraID>
      <start>36</start>
      <end>37</end>
      <status>modified</status>
      <modifiedWord>：</modifiedWord>
      <trackRevisions>false</trackRevisions>
    </reviewItem>
    <reviewItem>
      <errorID>5efc5a2a-36d7-40da-a04a-7fd0d72e4265</errorID>
      <errorWord>II型</errorWord>
      <group>L1_Knowledge</group>
      <groupName>知识性问题</groupName>
      <ability>L2_Knowledge</ability>
      <abilityName>其他知识</abilityName>
      <candidateList>
        <item>Ⅱ型</item>
      </candidateList>
      <explain/>
      <paraID>36F9FAED</paraID>
      <start>54</start>
      <end>56</end>
      <status>modified</status>
      <modifiedWord>Ⅱ型</modifiedWord>
      <trackRevisions>false</trackRevisions>
    </reviewItem>
    <reviewItem>
      <errorID>1c8da8ae-e466-45ea-93e3-7dccd16e2693</errorID>
      <errorWord>II型</errorWord>
      <group>L1_Knowledge</group>
      <groupName>知识性问题</groupName>
      <ability>L2_Knowledge</ability>
      <abilityName>其他知识</abilityName>
      <candidateList>
        <item>Ⅱ型</item>
      </candidateList>
      <explain/>
      <paraID>36F9FAED</paraID>
      <start>146</start>
      <end>148</end>
      <status>modified</status>
      <modifiedWord>Ⅱ型</modifiedWord>
      <trackRevisions>false</trackRevisions>
    </reviewItem>
    <reviewItem>
      <errorID>cb4aacdd-7c03-4d7a-99fd-14fa9f3ca171</errorID>
      <errorWord>，</errorWord>
      <group>L1_Word</group>
      <groupName>字词问题</groupName>
      <ability>L2_Typo</ability>
      <abilityName>字词错误</abilityName>
      <candidateList>
        <item>，以</item>
      </candidateList>
      <explain/>
      <paraID>2F1C2200</paraID>
      <start>154</start>
      <end>156</end>
      <status>modified</status>
      <modifiedWord>，以</modifiedWord>
      <trackRevisions>false</trackRevisions>
    </reviewItem>
    <reviewItem>
      <errorID>16bd460c-f848-4ec7-8a18-13ba36b7710d</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36D808D9</paraID>
      <start>18</start>
      <end>19</end>
      <status>modified</status>
      <modifiedWord>对</modifiedWord>
      <trackRevisions>false</trackRevisions>
    </reviewItem>
    <reviewItem>
      <errorID>31e78da9-54b1-4062-841c-d96bb8028a9a</errorID>
      <errorWord>区城</errorWord>
      <group>L1_Word</group>
      <groupName>字词问题</groupName>
      <ability>L2_Typo</ability>
      <abilityName>字词错误</abilityName>
      <candidateList>
        <item>区域</item>
      </candidateList>
      <explain/>
      <paraID>36D808D9</paraID>
      <start>50</start>
      <end>52</end>
      <status>modified</status>
      <modifiedWord>区域</modifiedWord>
      <trackRevisions>false</trackRevisions>
    </reviewItem>
    <reviewItem>
      <errorID>2495fa2c-4636-4937-8552-55156801083a</errorID>
      <errorWord>区城</errorWord>
      <group>L1_Word</group>
      <groupName>字词问题</groupName>
      <ability>L2_Typo</ability>
      <abilityName>字词错误</abilityName>
      <candidateList>
        <item>区域</item>
      </candidateList>
      <explain>存在字形相近字词的误用。</explain>
      <paraID>36D808D9</paraID>
      <start>78</start>
      <end>80</end>
      <status>modified</status>
      <modifiedWord>区域</modifiedWord>
      <trackRevisions>false</trackRevisions>
    </reviewItem>
    <reviewItem>
      <errorID>d5867e9c-1da6-42a0-bccd-e6d08cce3a48</errorID>
      <errorWord>场量</errorWord>
      <group>L1_Word</group>
      <groupName>字词问题</groupName>
      <ability>L2_Typo</ability>
      <abilityName>字词错误</abilityName>
      <candidateList>
        <item>场景</item>
      </candidateList>
      <explain/>
      <paraID>3BA62B76</paraID>
      <start>27</start>
      <end>29</end>
      <status>modified</status>
      <modifiedWord>场景</modifiedWord>
      <trackRevisions>false</trackRevisions>
    </reviewItem>
    <reviewItem>
      <errorID>8fd33607-7725-4bbd-9cb2-f2b8bc5c2153</errorID>
      <errorWord>库库</errorWord>
      <group>L1_Word</group>
      <groupName>字词问题</groupName>
      <ability>L2_Typo</ability>
      <abilityName>字词错误</abilityName>
      <candidateList>
        <item>库</item>
      </candidateList>
      <explain/>
      <paraID>122824A6</paraID>
      <start>37</start>
      <end>38</end>
      <status>modified</status>
      <modifiedWord>库</modifiedWord>
      <trackRevisions>false</trackRevisions>
    </reviewItem>
    <reviewItem>
      <errorID>e2d63e66-1638-4fda-8249-9ae979a99445</errorID>
      <errorWord>-</errorWord>
      <group>L1_Format</group>
      <groupName>格式问题</groupName>
      <ability>L2_HalfPunc</ability>
      <abilityName>全半角检查</abilityName>
      <candidateList>
        <item>－</item>
      </candidateList>
      <explain>文本全半角错误。</explain>
      <paraID>30025EFA</paraID>
      <start>157</start>
      <end>158</end>
      <status>modified</status>
      <modifiedWord>－</modifiedWord>
      <trackRevisions>false</trackRevisions>
    </reviewItem>
    <reviewItem>
      <errorID>14b85ebb-6a4d-4ac7-b6f7-879e282d3c1c</errorID>
      <errorWord>-</errorWord>
      <group>L1_Format</group>
      <groupName>格式问题</groupName>
      <ability>L2_HalfPunc</ability>
      <abilityName>全半角检查</abilityName>
      <candidateList>
        <item>－</item>
      </candidateList>
      <explain>文本全半角错误。</explain>
      <paraID>30025EFA</paraID>
      <start>160</start>
      <end>161</end>
      <status>modified</status>
      <modifiedWord>－</modifiedWord>
      <trackRevisions>false</trackRevisions>
    </reviewItem>
    <reviewItem>
      <errorID>f2acd439-e845-432d-9069-16fe0fbf950f</errorID>
      <errorWord>挡</errorWord>
      <group>L1_Word</group>
      <groupName>字词问题</groupName>
      <ability>L2_Typo</ability>
      <abilityName>字词错误</abilityName>
      <candidateList>
        <item>档</item>
      </candidateList>
      <explain>存在发音相同字词的误用。</explain>
      <paraID>6DFEB2FF</paraID>
      <start>94</start>
      <end>95</end>
      <status>modified</status>
      <modifiedWord>档</modifiedWord>
      <trackRevisions>false</trackRevisions>
    </reviewItem>
    <reviewItem>
      <errorID>78dcb70b-8806-4311-b3f4-3cf9826e8e55</errorID>
      <errorWord>，</errorWord>
      <group>L1_Word</group>
      <groupName>字词问题</groupName>
      <ability>L2_Typo</ability>
      <abilityName>字词错误</abilityName>
      <candidateList>
        <item>，在</item>
      </candidateList>
      <explain/>
      <paraID>6DFEB2FF</paraID>
      <start>159</start>
      <end>161</end>
      <status>modified</status>
      <modifiedWord>，在</modifiedWord>
      <trackRevisions>false</trackRevisions>
    </reviewItem>
    <reviewItem>
      <errorID>1f366846-4d6a-4912-a182-5da2fc76cd7c</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1C665369</paraID>
      <start>3</start>
      <end>4</end>
      <status>modified</status>
      <modifiedWord>地</modifiedWord>
      <trackRevisions>false</trackRevisions>
    </reviewItem>
    <reviewItem>
      <errorID>8ce28e48-21e8-4b6b-aad8-8ab0f4555e9c</errorID>
      <errorWord>:</errorWord>
      <group>L1_Format</group>
      <groupName>格式问题</groupName>
      <ability>L2_HalfPunc</ability>
      <abilityName>全半角检查</abilityName>
      <candidateList>
        <item>：</item>
      </candidateList>
      <explain>文本全半角错误。</explain>
      <paraID>1C665369</paraID>
      <start>42</start>
      <end>43</end>
      <status>modified</status>
      <modifiedWord>：</modifiedWord>
      <trackRevisions>false</trackRevisions>
    </reviewItem>
    <reviewItem>
      <errorID>03548b7b-8bf2-4ea3-9bd5-6ac8b4a97a70</errorID>
      <errorWord>:</errorWord>
      <group>L1_Format</group>
      <groupName>格式问题</groupName>
      <ability>L2_HalfPunc</ability>
      <abilityName>全半角检查</abilityName>
      <candidateList>
        <item>：</item>
      </candidateList>
      <explain>文本全半角错误。</explain>
      <paraID> 52C2136</paraID>
      <start>4</start>
      <end>5</end>
      <status>modified</status>
      <modifiedWord>：</modifiedWord>
      <trackRevisions>false</trackRevisions>
    </reviewItem>
    <reviewItem>
      <errorID>eb31e20f-a254-47bd-aebb-3ac50fc7ef71</errorID>
      <errorWord>:</errorWord>
      <group>L1_Format</group>
      <groupName>格式问题</groupName>
      <ability>L2_HalfPunc</ability>
      <abilityName>全半角检查</abilityName>
      <candidateList>
        <item>：</item>
      </candidateList>
      <explain>文本全半角错误。</explain>
      <paraID> 902C04E</paraID>
      <start>4</start>
      <end>5</end>
      <status>modified</status>
      <modifiedWord>：</modifiedWord>
      <trackRevisions>false</trackRevisions>
    </reviewItem>
    <reviewItem>
      <errorID>64c45c25-4b02-46f0-b0ed-39436dff2222</errorID>
      <errorWord>:</errorWord>
      <group>L1_Format</group>
      <groupName>格式问题</groupName>
      <ability>L2_HalfPunc</ability>
      <abilityName>全半角检查</abilityName>
      <candidateList>
        <item>：</item>
      </candidateList>
      <explain>文本全半角错误。</explain>
      <paraID>49981FD7</paraID>
      <start>4</start>
      <end>5</end>
      <status>modified</status>
      <modifiedWord>：</modifiedWord>
      <trackRevisions>false</trackRevisions>
    </reviewItem>
    <reviewItem>
      <errorID>6bfc52fd-43cc-4407-a8b3-c39944189d26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6EA5A4F3</paraID>
      <start>0</start>
      <end>2</end>
      <status>modified</status>
      <modifiedWord>1）</modifiedWord>
      <trackRevisions>false</trackRevisions>
    </reviewItem>
    <reviewItem>
      <errorID>f54cdb06-471e-4d1d-8416-6bb10c61ff04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63B60286</paraID>
      <start>0</start>
      <end>2</end>
      <status>modified</status>
      <modifiedWord>2）</modifiedWord>
      <trackRevisions>false</trackRevisions>
    </reviewItem>
    <reviewItem>
      <errorID>dc97cf57-ee4b-45d6-9da0-971193dc25b1</errorID>
      <errorWord>不宜</errorWord>
      <group>L1_Word</group>
      <groupName>字词问题</groupName>
      <ability>L2_Typo</ability>
      <abilityName>字词错误</abilityName>
      <candidateList>
        <item>不易</item>
      </candidateList>
      <explain/>
      <paraID>63B60286</paraID>
      <start>14</start>
      <end>16</end>
      <status>modified</status>
      <modifiedWord>不易</modifiedWord>
      <trackRevisions>false</trackRevisions>
    </reviewItem>
    <reviewItem>
      <errorID>1583e56b-d407-4798-b802-e77b08b24109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588BBF72</paraID>
      <start>0</start>
      <end>2</end>
      <status>modified</status>
      <modifiedWord>3）</modifiedWord>
      <trackRevisions>false</trackRevisions>
    </reviewItem>
    <reviewItem>
      <errorID>895086ba-e6b6-4306-8805-897b3fbb608d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1B4BA0D8</paraID>
      <start>0</start>
      <end>2</end>
      <status>modified</status>
      <modifiedWord>1）</modifiedWord>
      <trackRevisions>false</trackRevisions>
    </reviewItem>
    <reviewItem>
      <errorID>feb4fac0-a3e2-4f9f-a0e1-35473413e08d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3F664C3F</paraID>
      <start>0</start>
      <end>2</end>
      <status>modified</status>
      <modifiedWord>2）</modifiedWord>
      <trackRevisions>false</trackRevisions>
    </reviewItem>
    <reviewItem>
      <errorID>a02ecec7-a815-4961-addd-1d22c938430d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5287D531</paraID>
      <start>0</start>
      <end>2</end>
      <status>modified</status>
      <modifiedWord>3）</modifiedWord>
      <trackRevisions>false</trackRevisions>
    </reviewItem>
    <reviewItem>
      <errorID>f05b6bc8-81a6-418e-8c8c-3081d0885d79</errorID>
      <errorWord>:</errorWord>
      <group>L1_Format</group>
      <groupName>格式问题</groupName>
      <ability>L2_HalfPunc</ability>
      <abilityName>全半角检查</abilityName>
      <candidateList>
        <item>：</item>
      </candidateList>
      <explain>文本全半角错误。</explain>
      <paraID>5287D531</paraID>
      <start>6</start>
      <end>7</end>
      <status>modified</status>
      <modifiedWord>：</modifiedWord>
      <trackRevisions>false</trackRevisions>
    </reviewItem>
    <reviewItem>
      <errorID>f1004213-cb4e-496a-83c7-8b2debec44f8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400A9D81</paraID>
      <start>0</start>
      <end>2</end>
      <status>modified</status>
      <modifiedWord>4）</modifiedWord>
      <trackRevisions>false</trackRevisions>
    </reviewItem>
    <reviewItem>
      <errorID>20af5968-9d03-4478-87db-b204ff7176bb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72493C7F</paraID>
      <start>0</start>
      <end>2</end>
      <status>modified</status>
      <modifiedWord>5）</modifiedWord>
      <trackRevisions>false</trackRevisions>
    </reviewItem>
    <reviewItem>
      <errorID>1ae8bdd5-822d-4f57-a8dc-9c57b5925558</errorID>
      <errorWord>浇筑</errorWord>
      <group>L1_Word</group>
      <groupName>字词问题</groupName>
      <ability>L2_Typo</ability>
      <abilityName>字词错误</abilityName>
      <candidateList>
        <item>浇注</item>
      </candidateList>
      <explain/>
      <paraID>72493C7F</paraID>
      <start>94</start>
      <end>96</end>
      <status>modified</status>
      <modifiedWord>浇注</modifiedWord>
      <trackRevisions>false</trackRevisions>
    </reviewItem>
    <reviewItem>
      <errorID>b09ef1c8-ddf4-43bc-977d-b24c5f300066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18C9BFEC</paraID>
      <start>0</start>
      <end>2</end>
      <status>modified</status>
      <modifiedWord>1）</modifiedWord>
      <trackRevisions>false</trackRevisions>
    </reviewItem>
    <reviewItem>
      <errorID>850dc431-a49f-4235-b191-45d9b4bdc431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ED47B1B</paraID>
      <start>0</start>
      <end>2</end>
      <status>modified</status>
      <modifiedWord>2）</modifiedWord>
      <trackRevisions>false</trackRevisions>
    </reviewItem>
    <reviewItem>
      <errorID>aaaef83b-b507-43cf-9ab3-3a943e32e04a</errorID>
      <errorWord>:</errorWord>
      <group>L1_Format</group>
      <groupName>格式问题</groupName>
      <ability>L2_HalfPunc</ability>
      <abilityName>全半角检查</abilityName>
      <candidateList>
        <item>：</item>
      </candidateList>
      <explain>文本全半角错误。</explain>
      <paraID>3807B737</paraID>
      <start>30</start>
      <end>31</end>
      <status>modified</status>
      <modifiedWord>：</modifiedWord>
      <trackRevisions>false</trackRevisions>
    </reviewItem>
    <reviewItem>
      <errorID>f3d6481a-666f-4dc3-8f7b-cddd72be47fe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1B0C8350</paraID>
      <start>0</start>
      <end>2</end>
      <status>modified</status>
      <modifiedWord>1）</modifiedWord>
      <trackRevisions>false</trackRevisions>
    </reviewItem>
    <reviewItem>
      <errorID>382c5294-95bb-415c-b6f4-5b40bd84661b</errorID>
      <errorWord>,</errorWord>
      <group>L1_Format</group>
      <groupName>格式问题</groupName>
      <ability>L2_HalfPunc</ability>
      <abilityName>全半角检查</abilityName>
      <candidateList>
        <item>，</item>
      </candidateList>
      <explain>文本全半角错误。</explain>
      <paraID>1B0C8350</paraID>
      <start>10</start>
      <end>11</end>
      <status>modified</status>
      <modifiedWord>，</modifiedWord>
      <trackRevisions>false</trackRevisions>
    </reviewItem>
    <reviewItem>
      <errorID>4f98ac09-f2c4-46fe-9483-0e14ffbf402e</errorID>
      <errorWord>,</errorWord>
      <group>L1_Format</group>
      <groupName>格式问题</groupName>
      <ability>L2_HalfPunc</ability>
      <abilityName>全半角检查</abilityName>
      <candidateList>
        <item>，</item>
      </candidateList>
      <explain>文本全半角错误。</explain>
      <paraID>1B0C8350</paraID>
      <start>29</start>
      <end>30</end>
      <status>modified</status>
      <modifiedWord>，</modifiedWord>
      <trackRevisions>false</trackRevisions>
    </reviewItem>
    <reviewItem>
      <errorID>9f17a7d9-d879-4d48-8c54-fad389ca4e8b</errorID>
      <errorWord>接入到</errorWord>
      <group>L1_Word</group>
      <groupName>字词问题</groupName>
      <ability>L2_Typo</ability>
      <abilityName>字词错误</abilityName>
      <candidateList>
        <item>接入</item>
      </candidateList>
      <explain/>
      <paraID>1B0C8350</paraID>
      <start>54</start>
      <end>56</end>
      <status>modified</status>
      <modifiedWord>接入</modifiedWord>
      <trackRevisions>false</trackRevisions>
    </reviewItem>
    <reviewItem>
      <errorID>3104b3b7-b672-4981-a5b2-816b98970097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4A164EBB</paraID>
      <start>0</start>
      <end>2</end>
      <status>modified</status>
      <modifiedWord>2）</modifiedWord>
      <trackRevisions>false</trackRevisions>
    </reviewItem>
    <reviewItem>
      <errorID>f2ff3fc5-b194-4087-9190-67d168124984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67F74915</paraID>
      <start>0</start>
      <end>2</end>
      <status>modified</status>
      <modifiedWord>1.</modifiedWord>
      <trackRevisions>false</trackRevisions>
    </reviewItem>
    <reviewItem>
      <errorID>343ce1ae-002a-49fe-b5cd-ec63f3fc1a24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3E2BEF7E</paraID>
      <start>0</start>
      <end>2</end>
      <status>modified</status>
      <modifiedWord>2.</modifiedWord>
      <trackRevisions>false</trackRevisions>
    </reviewItem>
    <reviewItem>
      <errorID>9566a7e0-942c-4a93-80f3-6922fc6f3e68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26105F4C</paraID>
      <start>0</start>
      <end>2</end>
      <status>modified</status>
      <modifiedWord>3.</modifiedWord>
      <trackRevisions>false</trackRevisions>
    </reviewItem>
    <reviewItem>
      <errorID>63c4889a-f0df-4cff-ae51-21c7edb4236d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2718B80C</paraID>
      <start>0</start>
      <end>2</end>
      <status>modified</status>
      <modifiedWord>4.</modifiedWord>
      <trackRevisions>false</trackRevisions>
    </reviewItem>
    <reviewItem>
      <errorID>51733d5c-52cd-42d7-97bf-dfafd40b0ca1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127C5FB1</paraID>
      <start>0</start>
      <end>2</end>
      <status>modified</status>
      <modifiedWord>5.</modifiedWord>
      <trackRevisions>false</trackRevisions>
    </reviewItem>
    <reviewItem>
      <errorID>1971c230-166d-45af-b8c0-663045dcb4d8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7021D2E5</paraID>
      <start>0</start>
      <end>2</end>
      <status>modified</status>
      <modifiedWord>6.</modifiedWord>
      <trackRevisions>false</trackRevisions>
    </reviewItem>
    <reviewItem>
      <errorID>36643da8-579b-40e7-83d6-173ca8e98751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5563865</paraID>
      <start>0</start>
      <end>2</end>
      <status>modified</status>
      <modifiedWord>7.</modifiedWord>
      <trackRevisions>false</trackRevisions>
    </reviewItem>
    <reviewItem>
      <errorID>89de51e9-ee9a-44a9-b543-0a5c8d5ba6fb</errorID>
      <errorWord>II型</errorWord>
      <group>L1_Knowledge</group>
      <groupName>知识性问题</groupName>
      <ability>L2_Knowledge</ability>
      <abilityName>其他知识</abilityName>
      <candidateList>
        <item>Ⅱ型</item>
      </candidateList>
      <explain/>
      <paraID>4C320059</paraID>
      <start>68</start>
      <end>70</end>
      <status>modified</status>
      <modifiedWord>Ⅱ型</modifiedWord>
      <trackRevisions>false</trackRevisions>
    </reviewItem>
    <reviewItem>
      <errorID>f14db6db-9a76-4474-9eac-54647e7a435f</errorID>
      <errorWord>II型</errorWord>
      <group>L1_Knowledge</group>
      <groupName>知识性问题</groupName>
      <ability>L2_Knowledge</ability>
      <abilityName>其他知识</abilityName>
      <candidateList>
        <item>Ⅱ型</item>
      </candidateList>
      <explain/>
      <paraID>417B02D2</paraID>
      <start>10</start>
      <end>12</end>
      <status>modified</status>
      <modifiedWord>Ⅱ型</modifiedWord>
      <trackRevisions>false</trackRevisions>
    </reviewItem>
    <reviewItem>
      <errorID>4ce7fddd-b002-4caf-8171-09592e602963</errorID>
      <errorWord>II型</errorWord>
      <group>L1_Knowledge</group>
      <groupName>知识性问题</groupName>
      <ability>L2_Knowledge</ability>
      <abilityName>其他知识</abilityName>
      <candidateList>
        <item>Ⅱ型</item>
      </candidateList>
      <explain/>
      <paraID>4AE49C0F</paraID>
      <start>10</start>
      <end>12</end>
      <status>modified</status>
      <modifiedWord>Ⅱ型</modifiedWord>
      <trackRevisions>false</trackRevisions>
    </reviewItem>
    <reviewItem>
      <errorID>79da9525-abea-40e2-a636-d14bade1a53a</errorID>
      <errorWord>II型</errorWord>
      <group>L1_Knowledge</group>
      <groupName>知识性问题</groupName>
      <ability>L2_Knowledge</ability>
      <abilityName>其他知识</abilityName>
      <candidateList>
        <item>Ⅱ型</item>
      </candidateList>
      <explain/>
      <paraID>637D8875</paraID>
      <start>10</start>
      <end>12</end>
      <status>modified</status>
      <modifiedWord>Ⅱ型</modifiedWord>
      <trackRevisions>false</trackRevisions>
    </reviewItem>
    <reviewItem>
      <errorID>4c1793af-fe1b-4c0f-9eef-2badce8800ca</errorID>
      <errorWord>II型</errorWord>
      <group>L1_Knowledge</group>
      <groupName>知识性问题</groupName>
      <ability>L2_Knowledge</ability>
      <abilityName>其他知识</abilityName>
      <candidateList>
        <item>Ⅱ型</item>
      </candidateList>
      <explain/>
      <paraID>1CD5BE68</paraID>
      <start>10</start>
      <end>12</end>
      <status>modified</status>
      <modifiedWord>Ⅱ型</modifiedWord>
      <trackRevisions>false</trackRevisions>
    </reviewItem>
    <reviewItem>
      <errorID>0244bedc-401d-46cc-abe3-aaa56748c48a</errorID>
      <errorWord>II型</errorWord>
      <group>L1_Knowledge</group>
      <groupName>知识性问题</groupName>
      <ability>L2_Knowledge</ability>
      <abilityName>其他知识</abilityName>
      <candidateList>
        <item>Ⅱ型</item>
      </candidateList>
      <explain/>
      <paraID>30BE9064</paraID>
      <start>10</start>
      <end>12</end>
      <status>modified</status>
      <modifiedWord>Ⅱ型</modifiedWord>
      <trackRevisions>false</trackRevisions>
    </reviewItem>
    <reviewItem>
      <errorID>52482fc2-4579-463e-bdb4-8ed3e2f37f02</errorID>
      <errorWord>II型</errorWord>
      <group>L1_Knowledge</group>
      <groupName>知识性问题</groupName>
      <ability>L2_Knowledge</ability>
      <abilityName>其他知识</abilityName>
      <candidateList>
        <item>Ⅱ型</item>
      </candidateList>
      <explain/>
      <paraID>7FA78369</paraID>
      <start>10</start>
      <end>12</end>
      <status>modified</status>
      <modifiedWord>Ⅱ型</modifiedWord>
      <trackRevisions>false</trackRevisions>
    </reviewItem>
    <reviewItem>
      <errorID>ac4717b0-45bb-401b-9de9-3edf5f623dd8</errorID>
      <errorWord>II型</errorWord>
      <group>L1_Knowledge</group>
      <groupName>知识性问题</groupName>
      <ability>L2_Knowledge</ability>
      <abilityName>其他知识</abilityName>
      <candidateList>
        <item>Ⅱ型</item>
      </candidateList>
      <explain/>
      <paraID>650C8A97</paraID>
      <start>10</start>
      <end>12</end>
      <status>modified</status>
      <modifiedWord>Ⅱ型</modifiedWord>
      <trackRevisions>false</trackRevisions>
    </reviewItem>
    <reviewItem>
      <errorID>b9d4e6e9-1c8d-43da-9734-3e0b3e6c65d1</errorID>
      <errorWord>II型</errorWord>
      <group>L1_Knowledge</group>
      <groupName>知识性问题</groupName>
      <ability>L2_Knowledge</ability>
      <abilityName>其他知识</abilityName>
      <candidateList>
        <item>Ⅱ型</item>
      </candidateList>
      <explain/>
      <paraID>5EAFE946</paraID>
      <start>10</start>
      <end>12</end>
      <status>modified</status>
      <modifiedWord>Ⅱ型</modifiedWord>
      <trackRevisions>false</trackRevisions>
    </reviewItem>
    <reviewItem>
      <errorID>6fff0d4a-2c7c-47ad-ad1e-5a8173f13d23</errorID>
      <errorWord>可视域分析</errorWord>
      <group>L1_Knowledge</group>
      <groupName>知识性问题</groupName>
      <ability>L2_Term</ability>
      <abilityName>专业术语</abilityName>
      <candidateList>
        <item>可视化分析</item>
      </candidateList>
      <explain/>
      <paraID>17F8920D</paraID>
      <start>95</start>
      <end>100</end>
      <status>ignored</status>
      <modifiedWord/>
      <trackRevisions>false</trackRevisions>
    </reviewItem>
    <reviewItem>
      <errorID>7bdd740b-df1e-4829-af8b-8f79288329fb</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6038E39C</paraID>
      <start>30</start>
      <end>31</end>
      <status>modified</status>
      <modifiedWord>地</modifiedWord>
      <trackRevisions>false</trackRevisions>
    </reviewItem>
    <reviewItem>
      <errorID>310593a5-a8b1-407e-940b-3ef896a806b4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5B055D80</paraID>
      <start>55</start>
      <end>56</end>
      <status>modified</status>
      <modifiedWord>—</modifiedWord>
      <trackRevisions>false</trackRevisions>
    </reviewItem>
    <reviewItem>
      <errorID>9d71c9e3-d346-42e2-ae94-8a561baee51e</errorID>
      <errorWord>便</errorWord>
      <group>L1_Word</group>
      <groupName>字词问题</groupName>
      <ability>L2_Typo</ability>
      <abilityName>字词错误</abilityName>
      <candidateList>
        <item>便和</item>
      </candidateList>
      <explain/>
      <paraID>5B055D80</paraID>
      <start>187</start>
      <end>189</end>
      <status>modified</status>
      <modifiedWord>便和</modifiedWord>
      <trackRevisions>false</trackRevisions>
    </reviewItem>
    <reviewItem>
      <errorID>27f42d5a-987c-4ed2-8f2c-1274fe004d55</errorID>
      <errorWord>,</errorWord>
      <group>L1_Format</group>
      <groupName>格式问题</groupName>
      <ability>L2_HalfPunc</ability>
      <abilityName>全半角检查</abilityName>
      <candidateList>
        <item>，</item>
      </candidateList>
      <explain>文本全半角错误。</explain>
      <paraID>5B055D80</paraID>
      <start>256</start>
      <end>257</end>
      <status>modified</status>
      <modifiedWord>，</modifiedWord>
      <trackRevisions>false</trackRevisions>
    </reviewItem>
    <reviewItem>
      <errorID>3e16f9e5-491b-424e-9625-80fcb466f31b</errorID>
      <errorWord>咀尖</errorWord>
      <group>L1_Word</group>
      <groupName>字词问题</groupName>
      <ability>L2_Variant</ability>
      <abilityName>异形词</abilityName>
      <candidateList>
        <item>嘴尖</item>
      </candidateList>
      <explain>词汇[咀尖]的规范词形写作[嘴尖]。</explain>
      <paraID>5510FE0E</paraID>
      <start>1</start>
      <end>3</end>
      <status>ignored</status>
      <modifiedWord/>
      <trackRevisions>false</trackRevisions>
    </reviewItem>
    <reviewItem>
      <errorID>48395c5a-435b-4004-ae0f-0038abf77ace</errorID>
      <errorWord>视频协议</errorWord>
      <group>L1_Knowledge</group>
      <groupName>知识性问题</groupName>
      <ability>L2_Term</ability>
      <abilityName>专业术语</abilityName>
      <candidateList>
        <item>视频会议</item>
      </candidateList>
      <explain/>
      <paraID>5A6A9992</paraID>
      <start>34</start>
      <end>38</end>
      <status>ignored</status>
      <modifiedWord/>
      <trackRevisions>false</trackRevisions>
    </reviewItem>
    <reviewItem>
      <errorID>0eaa1551-ab00-462a-a05b-ca3eba24c3c6</errorID>
      <errorWord>)</errorWord>
      <group>L1_Format</group>
      <groupName>格式问题</groupName>
      <ability>L2_HalfPunc</ability>
      <abilityName>全半角检查</abilityName>
      <candidateList>
        <item>）</item>
      </candidateList>
      <explain>文本全半角错误。</explain>
      <paraID>12FEDF52</paraID>
      <start>98</start>
      <end>99</end>
      <status>modified</status>
      <modifiedWord>）</modifiedWord>
      <trackRevisions>false</trackRevisions>
    </reviewItem>
    <reviewItem>
      <errorID>3496677c-4978-4f05-afa1-2b97b1094ba6</errorID>
      <errorWord>)</errorWord>
      <group>L1_Format</group>
      <groupName>格式问题</groupName>
      <ability>L2_HalfPunc</ability>
      <abilityName>全半角检查</abilityName>
      <candidateList>
        <item>）</item>
      </candidateList>
      <explain>文本全半角错误。</explain>
      <paraID>67A1BBFF</paraID>
      <start>13</start>
      <end>14</end>
      <status>modified</status>
      <modifiedWord>）</modifiedWord>
      <trackRevisions>false</trackRevisions>
    </reviewItem>
    <reviewItem>
      <errorID>51e8f88a-6771-4422-99fc-438f53d9a2e5</errorID>
      <errorWord>丟</errorWord>
      <group>L1_Word</group>
      <groupName>字词问题</groupName>
      <ability>L2_Fanti</ability>
      <abilityName>繁转简</abilityName>
      <candidateList>
        <item>丢</item>
      </candidateList>
      <explain/>
      <paraID>21477D7D</paraID>
      <start>3</start>
      <end>4</end>
      <status>modified</status>
      <modifiedWord>丢</modifiedWord>
      <trackRevisions>false</trackRevisions>
    </reviewItem>
    <reviewItem>
      <errorID>2495120a-bba8-4694-9e28-417bb6ca03c5</errorID>
      <errorWord>丟</errorWord>
      <group>L1_Word</group>
      <groupName>字词问题</groupName>
      <ability>L2_Fanti</ability>
      <abilityName>繁转简</abilityName>
      <candidateList>
        <item>丢</item>
      </candidateList>
      <explain/>
      <paraID>4EA5F2C9</paraID>
      <start>4</start>
      <end>5</end>
      <status>modified</status>
      <modifiedWord>丢</modifiedWord>
      <trackRevisions>false</trackRevisions>
    </reviewItem>
    <reviewItem>
      <errorID>b07b1d4b-04da-4def-a69f-5460f51d6688</errorID>
      <errorWord>涉及到</errorWord>
      <group>L1_Word</group>
      <groupName>字词问题</groupName>
      <ability>L2_Typo</ability>
      <abilityName>字词错误</abilityName>
      <candidateList>
        <item>涉及</item>
      </candidateList>
      <explain>〈动〉牵涉到；关联到：案子～好几个人｜这个问题～面很广。</explain>
      <paraID>1103E97F</paraID>
      <start>4</start>
      <end>6</end>
      <status>modified</status>
      <modifiedWord>涉及</modifiedWord>
      <trackRevisions>false</trackRevisions>
    </reviewItem>
    <reviewItem>
      <errorID>3652ef92-d9f0-4851-9062-b5b221b2678c</errorID>
      <errorWord>涉及到</errorWord>
      <group>L1_Word</group>
      <groupName>字词问题</groupName>
      <ability>L2_Typo</ability>
      <abilityName>字词错误</abilityName>
      <candidateList>
        <item>涉及</item>
      </candidateList>
      <explain>〈动〉牵涉到；关联到：案子～好几个人｜这个问题～面很广。</explain>
      <paraID>1103E97F</paraID>
      <start>53</start>
      <end>55</end>
      <status>modified</status>
      <modifiedWord>涉及</modifiedWord>
      <trackRevisions>false</trackRevisions>
    </reviewItem>
    <reviewItem>
      <errorID>64c4d415-577f-4088-90ea-21907a97c010</errorID>
      <errorWord>条</errorWord>
      <group>L1_Knowledge</group>
      <groupName>知识性问题</groupName>
      <ability>L2_Knowledge</ability>
      <abilityName>其他知识</abilityName>
      <candidateList>
        <item>种</item>
      </candidateList>
      <explain>（種）zhònɡ〈动〉种植：～田｜～麦子｜～棉花◇～牛痘。</explain>
      <paraID>5E215991</paraID>
      <start>66</start>
      <end>67</end>
      <status>modified</status>
      <modifiedWord>种</modifiedWord>
      <trackRevisions>false</trackRevisions>
    </reviewItem>
    <reviewItem>
      <errorID>5ad7ad7c-9d30-4afa-bdff-93a02eb40406</errorID>
      <errorWord>)</errorWord>
      <group>L1_Format</group>
      <groupName>格式问题</groupName>
      <ability>L2_HalfPunc</ability>
      <abilityName>全半角检查</abilityName>
      <candidateList>
        <item>）</item>
      </candidateList>
      <explain>文本全半角错误。</explain>
      <paraID>38D3E65E</paraID>
      <start>56</start>
      <end>57</end>
      <status>modified</status>
      <modifiedWord>）</modifiedWord>
      <trackRevisions>false</trackRevisions>
    </reviewItem>
    <reviewItem>
      <errorID>2dd50d21-f6cc-4037-964f-3c8ee77d4edf</errorID>
      <errorWord>)</errorWord>
      <group>L1_Format</group>
      <groupName>格式问题</groupName>
      <ability>L2_HalfPunc</ability>
      <abilityName>全半角检查</abilityName>
      <candidateList>
        <item>）</item>
      </candidateList>
      <explain>文本全半角错误。</explain>
      <paraID>38D3E65E</paraID>
      <start>99</start>
      <end>100</end>
      <status>modified</status>
      <modifiedWord>）</modifiedWord>
      <trackRevisions>false</trackRevisions>
    </reviewItem>
    <reviewItem>
      <errorID>754642ec-3429-41ad-956e-ccd813f293eb</errorID>
      <errorWord>)</errorWord>
      <group>L1_Format</group>
      <groupName>格式问题</groupName>
      <ability>L2_HalfPunc</ability>
      <abilityName>全半角检查</abilityName>
      <candidateList>
        <item>）</item>
      </candidateList>
      <explain>文本全半角错误。</explain>
      <paraID>1FF1F6F7</paraID>
      <start>76</start>
      <end>77</end>
      <status>modified</status>
      <modifiedWord>）</modifiedWord>
      <trackRevisions>false</trackRevisions>
    </reviewItem>
    <reviewItem>
      <errorID>0c0801a4-aa26-4e85-b8c1-fe4147c1be5c</errorID>
      <errorWord>)</errorWord>
      <group>L1_Format</group>
      <groupName>格式问题</groupName>
      <ability>L2_HalfPunc</ability>
      <abilityName>全半角检查</abilityName>
      <candidateList>
        <item>）</item>
      </candidateList>
      <explain>文本全半角错误。</explain>
      <paraID>1FF1F6F7</paraID>
      <start>84</start>
      <end>85</end>
      <status>modified</status>
      <modifiedWord>）</modifiedWord>
      <trackRevisions>false</trackRevisions>
    </reviewItem>
    <reviewItem>
      <errorID>1efc26c6-d34a-4824-9dbc-c8e914455174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209C3581</paraID>
      <start>0</start>
      <end>2</end>
      <status>modified</status>
      <modifiedWord>2.</modifiedWord>
      <trackRevisions>false</trackRevisions>
    </reviewItem>
    <reviewItem>
      <errorID>724936cc-c9c4-4277-9021-a3f4f4290c21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30209B5D</paraID>
      <start>0</start>
      <end>2</end>
      <status>modified</status>
      <modifiedWord>3.</modifiedWord>
      <trackRevisions>false</trackRevisions>
    </reviewItem>
    <reviewItem>
      <errorID>2b4d0611-cac9-4694-9a85-aa2f40c72e01</errorID>
      <errorWord>或者</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6DF51506</paraID>
      <start>33</start>
      <end>34</end>
      <status>modified</status>
      <modifiedWord>或</modifiedWord>
      <trackRevisions>false</trackRevisions>
    </reviewItem>
    <reviewItem>
      <errorID>0f401529-2dbe-470f-8a86-4c613f9b3c56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6E348A01</paraID>
      <start>0</start>
      <end>2</end>
      <status>modified</status>
      <modifiedWord>4.</modifiedWord>
      <trackRevisions>false</trackRevisions>
    </reviewItem>
    <reviewItem>
      <errorID>fd34ccd0-4123-47c0-b06b-9be828c5d368</errorID>
      <errorWord>根据根据</errorWord>
      <group>L1_Word</group>
      <groupName>字词问题</groupName>
      <ability>L2_Typo</ability>
      <abilityName>字词错误</abilityName>
      <candidateList>
        <item>根据</item>
      </candidateList>
      <explain>❶〈介〉把某种事物作为结论的前提或语言行动的基础：～气象台的预报，明天要下雨｜～大家的意见，把计划修改一下。❷〈名〉作为根据的事物：说话要有～。❸〈动〉以某种事物为依据：财政支出必须～节约的原则。</explain>
      <paraID>709F27E5</paraID>
      <start>98</start>
      <end>100</end>
      <status>modified</status>
      <modifiedWord>根据</modifiedWord>
      <trackRevisions>false</trackRevisions>
    </reviewItem>
    <reviewItem>
      <errorID>dfe56499-f2cc-48ab-af58-4e972f7d7ae1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38CAACB6</paraID>
      <start>0</start>
      <end>2</end>
      <status>modified</status>
      <modifiedWord>1.</modifiedWord>
      <trackRevisions>false</trackRevisions>
    </reviewItem>
    <reviewItem>
      <errorID>dd68d4be-d9ea-41c1-a943-e22d4e13bb45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79031D1B</paraID>
      <start>0</start>
      <end>2</end>
      <status>modified</status>
      <modifiedWord>2.</modifiedWord>
      <trackRevisions>false</trackRevisions>
    </reviewItem>
    <reviewItem>
      <errorID>20005149-a918-4a2d-97f6-7abc27d54a73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680186F1</paraID>
      <start>0</start>
      <end>2</end>
      <status>modified</status>
      <modifiedWord>3.</modifiedWord>
      <trackRevisions>false</trackRevisions>
    </reviewItem>
    <reviewItem>
      <errorID>a81d155e-b4c0-457f-b36c-b69f32e7b6e9</errorID>
      <errorWord>物质</errorWord>
      <group>L1_Word</group>
      <groupName>字词问题</groupName>
      <ability>L2_Typo</ability>
      <abilityName>字词错误</abilityName>
      <candidateList>
        <item>物资</item>
      </candidateList>
      <explain/>
      <paraID> D60277F</paraID>
      <start>180</start>
      <end>182</end>
      <status>modified</status>
      <modifiedWord>物资</modifiedWord>
      <trackRevisions>false</trackRevisions>
    </reviewItem>
    <reviewItem>
      <errorID>ee93581a-33e1-47e9-a920-579c5a8f0c58</errorID>
      <errorWord>:</errorWord>
      <group>L1_Format</group>
      <groupName>格式问题</groupName>
      <ability>L2_HalfPunc</ability>
      <abilityName>全半角检查</abilityName>
      <candidateList>
        <item>：</item>
      </candidateList>
      <explain>文本全半角错误。</explain>
      <paraID>282BE721</paraID>
      <start>6</start>
      <end>7</end>
      <status>modified</status>
      <modifiedWord>：</modifiedWord>
      <trackRevisions>false</trackRevisions>
    </reviewItem>
    <reviewItem>
      <errorID>08125c22-5942-4270-8cde-311047410c4b</errorID>
      <errorWord>本文</errorWord>
      <group>L1_Word</group>
      <groupName>字词问题</groupName>
      <ability>L2_Typo</ability>
      <abilityName>字词错误</abilityName>
      <candidateList>
        <item>文本</item>
      </candidateList>
      <explain/>
      <paraID>1483CFAE</paraID>
      <start>16</start>
      <end>18</end>
      <status>modified</status>
      <modifiedWord>文本</modifiedWord>
      <trackRevisions>false</trackRevisions>
    </reviewItem>
    <reviewItem>
      <errorID>42c15e23-f6b6-4b42-bbbb-4fb953f13e20</errorID>
      <errorWord>文字性</errorWord>
      <group>L1_Word</group>
      <groupName>字词问题</groupName>
      <ability>L2_Typo</ability>
      <abilityName>字词错误</abilityName>
      <candidateList>
        <item>文字</item>
      </candidateList>
      <explain/>
      <paraID>2CA8F729</paraID>
      <start>48</start>
      <end>50</end>
      <status>modified</status>
      <modifiedWord>文字</modifiedWord>
      <trackRevisions>false</trackRevisions>
    </reviewItem>
    <reviewItem>
      <errorID>6546dc2d-c1f8-4df3-a7ed-31f84dd0df28</errorID>
      <errorWord>:</errorWord>
      <group>L1_Format</group>
      <groupName>格式问题</groupName>
      <ability>L2_HalfPunc</ability>
      <abilityName>全半角检查</abilityName>
      <candidateList>
        <item>：</item>
      </candidateList>
      <explain>文本全半角错误。</explain>
      <paraID>4BCEA0BD</paraID>
      <start>4</start>
      <end>5</end>
      <status>modified</status>
      <modifiedWord>：</modifiedWord>
      <trackRevisions>false</trackRevisions>
    </reviewItem>
    <reviewItem>
      <errorID>66c38041-ea3e-44db-9fc5-cad51e0f8481</errorID>
      <errorWord>:</errorWord>
      <group>L1_Format</group>
      <groupName>格式问题</groupName>
      <ability>L2_HalfPunc</ability>
      <abilityName>全半角检查</abilityName>
      <candidateList>
        <item>：</item>
      </candidateList>
      <explain>文本全半角错误。</explain>
      <paraID>50F95D6F</paraID>
      <start>4</start>
      <end>5</end>
      <status>modified</status>
      <modifiedWord>：</modifiedWord>
      <trackRevisions>false</trackRevisions>
    </reviewItem>
    <reviewItem>
      <errorID>ff8400ee-8ad7-43ad-ae4c-7e2669903d9c</errorID>
      <errorWord>:</errorWord>
      <group>L1_Format</group>
      <groupName>格式问题</groupName>
      <ability>L2_HalfPunc</ability>
      <abilityName>全半角检查</abilityName>
      <candidateList>
        <item>：</item>
      </candidateList>
      <explain>文本全半角错误。</explain>
      <paraID> 9823EF3</paraID>
      <start>4</start>
      <end>5</end>
      <status>modified</status>
      <modifiedWord>：</modifiedWord>
      <trackRevisions>false</trackRevisions>
    </reviewItem>
    <reviewItem>
      <errorID>2ccc20d9-b8c9-41e3-bb85-4fd345599d85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4DE2BF3C</paraID>
      <start>0</start>
      <end>2</end>
      <status>modified</status>
      <modifiedWord>1.</modifiedWord>
      <trackRevisions>false</trackRevisions>
    </reviewItem>
    <reviewItem>
      <errorID>37d45c5e-e0ba-41b7-a3ab-7b0b2e506810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3DD89E98</paraID>
      <start>0</start>
      <end>2</end>
      <status>modified</status>
      <modifiedWord>2.</modifiedWord>
      <trackRevisions>false</trackRevisions>
    </reviewItem>
    <reviewItem>
      <errorID>a2bf49e6-082c-4d3f-b723-e99834c8bb00</errorID>
      <errorWord>的额</errorWord>
      <group>L1_Word</group>
      <groupName>字词问题</groupName>
      <ability>L2_Typo</ability>
      <abilityName>字词错误</abilityName>
      <candidateList>
        <item>的</item>
      </candidateList>
      <explain>置于形容词、名词后，用于修饰事物的形态。</explain>
      <paraID>210C065E</paraID>
      <start>86</start>
      <end>87</end>
      <status>modified</status>
      <modifiedWord>的</modifiedWord>
      <trackRevisions>false</trackRevisions>
    </reviewItem>
    <reviewItem>
      <errorID>26106091-ecfe-4439-b1f7-e8ac59112435</errorID>
      <errorWord>可</errorWord>
      <group>L1_Word</group>
      <groupName>字词问题</groupName>
      <ability>L2_Typo</ability>
      <abilityName>字词错误</abilityName>
      <candidateList>
        <item>可以</item>
      </candidateList>
      <explain>〈口〉〈形〉❶好；不坏；过得去：这篇文章写得还～。❷厉害：你这张嘴真～｜天气实在热得～。</explain>
      <paraID>1A37C1C4</paraID>
      <start>70</start>
      <end>72</end>
      <status>modified</status>
      <modifiedWord>可以</modifiedWord>
      <trackRevisions>false</trackRevisions>
    </reviewItem>
    <reviewItem>
      <errorID>2925c8a9-3058-467a-afef-fa8f3349f1de</errorID>
      <errorWord>位上</errorWord>
      <group>L1_Word</group>
      <groupName>字词问题</groupName>
      <ability>L2_Typo</ability>
      <abilityName>字词错误</abilityName>
      <candidateList>
        <item>位置</item>
      </candidateList>
      <explain>〈名〉❶所在或所占的地方：大家都按指定的～坐了下来。❷地位：《狂人日记》在我国新文学中占有重要～。❸指职位：谋了个科员的～。</explain>
      <paraID>1A37C1C4</paraID>
      <start>77</start>
      <end>79</end>
      <status>modified</status>
      <modifiedWord>位置</modifiedWord>
      <trackRevisions>false</trackRevisions>
    </reviewItem>
    <reviewItem>
      <errorID>86d2afb0-b5c7-47ce-b41b-5c3851a8b1fc</errorID>
      <errorWord>生成了</errorWord>
      <group>L1_Word</group>
      <groupName>字词问题</groupName>
      <ability>L2_Typo</ability>
      <abilityName>字词错误</abilityName>
      <candidateList>
        <item>生成</item>
      </candidateList>
      <explain/>
      <paraID>1A37C1C4</paraID>
      <start>102</start>
      <end>104</end>
      <status>modified</status>
      <modifiedWord>生成</modifiedWord>
      <trackRevisions>false</trackRevisions>
    </reviewItem>
    <reviewItem>
      <errorID>c6a83e5f-2d61-4217-bc57-b065832f3900</errorID>
      <errorWord>数据的</errorWord>
      <group>L1_Word</group>
      <groupName>字词问题</groupName>
      <ability>L2_Typo</ability>
      <abilityName>字词错误</abilityName>
      <candidateList>
        <item>数据</item>
      </candidateList>
      <explain/>
      <paraID> 950BBAE</paraID>
      <start>76</start>
      <end>78</end>
      <status>modified</status>
      <modifiedWord>数据</modifiedWord>
      <trackRevisions>false</trackRevisions>
    </reviewItem>
    <reviewItem>
      <errorID>a878bb28-9b2c-4a62-a3b1-c34d3b030350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950BBAE</paraID>
      <start>159</start>
      <end>160</end>
      <status>modified</status>
      <modifiedWord>地</modifiedWord>
      <trackRevisions>false</trackRevisions>
    </reviewItem>
    <reviewItem>
      <errorID>f9be2cb2-8464-4330-8cb6-aa99c5ec6aa2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53E185F9</paraID>
      <start>0</start>
      <end>2</end>
      <status>modified</status>
      <modifiedWord>1.</modifiedWord>
      <trackRevisions>false</trackRevisions>
    </reviewItem>
    <reviewItem>
      <errorID>5d66377a-e3a3-492e-babc-f41f4cb9042d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18B0788B</paraID>
      <start>0</start>
      <end>2</end>
      <status>modified</status>
      <modifiedWord>2.</modifiedWord>
      <trackRevisions>false</trackRevisions>
    </reviewItem>
    <reviewItem>
      <errorID>3f97bbd8-9a7a-4ffb-84d9-1f23150a0de6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7434572B</paraID>
      <start>0</start>
      <end>2</end>
      <status>modified</status>
      <modifiedWord>3.</modifiedWord>
      <trackRevisions>false</trackRevisions>
    </reviewItem>
    <reviewItem>
      <errorID>17507d0e-b721-47a4-83c9-c15f2c93eff7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242794B</paraID>
      <start>0</start>
      <end>2</end>
      <status>modified</status>
      <modifiedWord>4.</modifiedWord>
      <trackRevisions>false</trackRevisions>
    </reviewItem>
    <reviewItem>
      <errorID>63984e63-facf-4a63-b8ae-6109abaeab72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DF7AAC8</paraID>
      <start>0</start>
      <end>2</end>
      <status>modified</status>
      <modifiedWord>5.</modifiedWord>
      <trackRevisions>false</trackRevisions>
    </reviewItem>
    <reviewItem>
      <errorID>52f9d83a-70ab-4a0a-a071-287bcdd9a796</errorID>
      <errorWord>借助于</errorWord>
      <group>L1_Word</group>
      <groupName>字词问题</groupName>
      <ability>L2_Typo</ability>
      <abilityName>字词错误</abilityName>
      <candidateList>
        <item>借助</item>
      </candidateList>
      <explain/>
      <paraID>1B61811C</paraID>
      <start>126</start>
      <end>128</end>
      <status>modified</status>
      <modifiedWord>借助</modifiedWord>
      <trackRevisions>false</trackRevisions>
    </reviewItem>
    <reviewItem>
      <errorID>72f90df4-e5b2-4f7c-abca-0c1f118b0e6e</errorID>
      <errorWord>）</errorWord>
      <group>L1_Word</group>
      <groupName>字词问题</groupName>
      <ability>L2_Typo</ability>
      <abilityName>字词错误</abilityName>
      <candidateList>
        <item>）之</item>
      </candidateList>
      <explain/>
      <paraID>681FC750</paraID>
      <start>27</start>
      <end>29</end>
      <status>modified</status>
      <modifiedWord>）之</modifiedWord>
      <trackRevisions>false</trackRevisions>
    </reviewItem>
    <reviewItem>
      <errorID>5af901a3-cc3b-4834-bee3-e25033373a04</errorID>
      <errorWord>通讯覆盖</errorWord>
      <group>L1_Word</group>
      <groupName>字词问题</groupName>
      <ability>L2_Typo</ability>
      <abilityName>字词错误</abilityName>
      <candidateList>
        <item>通信覆盖</item>
      </candidateList>
      <explain/>
      <paraID>1DC28CD0</paraID>
      <start>86</start>
      <end>90</end>
      <status>ignored</status>
      <modifiedWord/>
      <trackRevisions>false</trackRevisions>
    </reviewItem>
    <reviewItem>
      <errorID>1b4c721e-74d1-46ab-8013-8b939732ef5f</errorID>
      <errorWord>内内</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4BA0C3E1</paraID>
      <start>82</start>
      <end>83</end>
      <status>modified</status>
      <modifiedWord>内</modifiedWord>
      <trackRevisions>false</trackRevisions>
    </reviewItem>
    <reviewItem>
      <errorID>0ebb7906-2c39-4aed-84ee-d754da921947</errorID>
      <errorWord>树型</errorWord>
      <group>L1_Word</group>
      <groupName>字词问题</groupName>
      <ability>L2_Typo</ability>
      <abilityName>字词错误</abilityName>
      <candidateList>
        <item>树形</item>
      </candidateList>
      <explain/>
      <paraID>16A7FD75</paraID>
      <start>46</start>
      <end>48</end>
      <status>modified</status>
      <modifiedWord>树形</modifiedWord>
      <trackRevisions>false</trackRevisions>
    </reviewItem>
    <reviewItem>
      <errorID>dca09239-7d40-450d-bacb-aa7a6c2e8d22</errorID>
      <errorWord>做大</errorWord>
      <group>L1_Word</group>
      <groupName>字词问题</groupName>
      <ability>L2_Typo</ability>
      <abilityName>字词错误</abilityName>
      <candidateList>
        <item>做到</item>
      </candidateList>
      <explain/>
      <paraID>5CE7E000</paraID>
      <start>156</start>
      <end>158</end>
      <status>ignored</status>
      <modifiedWord/>
      <trackRevisions>false</trackRevisions>
    </reviewItem>
    <reviewItem>
      <errorID>b21f1534-ed6c-4370-8d29-40005fa43c0a</errorID>
      <errorWord>在在岳阳市</errorWord>
      <group>L1_Word</group>
      <groupName>字词问题</groupName>
      <ability>L2_Typo</ability>
      <abilityName>字词错误</abilityName>
      <candidateList>
        <item>在岳阳市</item>
      </candidateList>
      <explain/>
      <paraID>1AD5AF43</paraID>
      <start>1</start>
      <end>5</end>
      <status>modified</status>
      <modifiedWord>在岳阳市</modifiedWord>
      <trackRevisions>false</trackRevisions>
    </reviewItem>
    <reviewItem>
      <errorID>966d4ad7-8c68-4f9b-8293-c51c850c3964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5666FC81</paraID>
      <start>52</start>
      <end>53</end>
      <status>modified</status>
      <modifiedWord>或</modifiedWord>
      <trackRevisions>false</trackRevisions>
    </reviewItem>
    <reviewItem>
      <errorID>20d2a7de-be45-4008-88c8-91965f2aab4c</errorID>
      <errorWord>，</errorWord>
      <group>L1_Word</group>
      <groupName>字词问题</groupName>
      <ability>L2_Typo</ability>
      <abilityName>字词错误</abilityName>
      <candidateList>
        <item>，主</item>
      </candidateList>
      <explain/>
      <paraID>5666FC81</paraID>
      <start>67</start>
      <end>69</end>
      <status>modified</status>
      <modifiedWord>，主</modifiedWord>
      <trackRevisions>false</trackRevisions>
    </reviewItem>
    <reviewItem>
      <errorID>8ef761af-a017-48d8-8286-524ddf17fdcb</errorID>
      <errorWord>网管</errorWord>
      <group>L1_Word</group>
      <groupName>字词问题</groupName>
      <ability>L2_Typo</ability>
      <abilityName>字词错误</abilityName>
      <candidateList>
        <item>网关</item>
      </candidateList>
      <explain/>
      <paraID> 5E453D2</paraID>
      <start>79</start>
      <end>81</end>
      <status>modified</status>
      <modifiedWord>网关</modifiedWord>
      <trackRevisions>false</trackRevisions>
    </reviewItem>
    <reviewItem>
      <errorID>4501fb4e-8ef0-4780-86c0-fb48815cf59b</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23704461</paraID>
      <start>27</start>
      <end>28</end>
      <status>modified</status>
      <modifiedWord>地</modifiedWord>
      <trackRevisions>false</trackRevisions>
    </reviewItem>
    <reviewItem>
      <errorID>ed5a1085-8463-4353-bf9f-9313e6103427</errorID>
      <errorWord>参与的</errorWord>
      <group>L1_Word</group>
      <groupName>字词问题</groupName>
      <ability>L2_Typo</ability>
      <abilityName>字词错误</abilityName>
      <candidateList>
        <item>参与</item>
      </candidateList>
      <explain>（参预）cānyù〈动〉参加（事务的计划、讨论、处理）：～其事｜他曾～这个规划的制订工作。</explain>
      <paraID>454E3FBB</paraID>
      <start>25</start>
      <end>27</end>
      <status>modified</status>
      <modifiedWord>参与</modifiedWord>
      <trackRevisions>false</trackRevisions>
    </reviewItem>
    <reviewItem>
      <errorID>b24011c4-775c-4af7-8997-cf3ce9300e26</errorID>
      <errorWord>满足对</errorWord>
      <group>L1_Word</group>
      <groupName>字词问题</groupName>
      <ability>L2_Typo</ability>
      <abilityName>字词错误</abilityName>
      <candidateList>
        <item>满足</item>
      </candidateList>
      <explain/>
      <paraID>454E3FBB</paraID>
      <start>39</start>
      <end>41</end>
      <status>modified</status>
      <modifiedWord>满足</modifiedWord>
      <trackRevisions>false</trackRevisions>
    </reviewItem>
    <reviewItem>
      <errorID>8dadd78f-22ae-49ee-9c5e-3e2afbe3c3a6</errorID>
      <errorWord>参与的</errorWord>
      <group>L1_Word</group>
      <groupName>字词问题</groupName>
      <ability>L2_Typo</ability>
      <abilityName>字词错误</abilityName>
      <candidateList>
        <item>参与</item>
      </candidateList>
      <explain>（参预）cānyù〈动〉参加（事务的计划、讨论、处理）：～其事｜他曾～这个规划的制订工作。</explain>
      <paraID>4F68221F</paraID>
      <start>28</start>
      <end>30</end>
      <status>modified</status>
      <modifiedWord>参与</modifiedWord>
      <trackRevisions>false</trackRevisions>
    </reviewItem>
    <reviewItem>
      <errorID>503d9b79-ee10-4c74-a206-7b4f91409763</errorID>
      <errorWord>底</errorWord>
      <group>L1_Word</group>
      <groupName>字词问题</groupName>
      <ability>L2_Typo</ability>
      <abilityName>字词错误</abilityName>
      <candidateList>
        <item>低</item>
      </candidateList>
      <explain>❶〈形〉从下向上距离小；离地面近（跟“高”相对，▲▲同）：～空｜飞机～飞绕场一周｜水位降～了。❷〈形〉在一般标准或平均程度之下：～地｜声音太～｜眼高手～。❸〈形〉等级在下的：～年级学生｜我比哥哥～一班。❹〈动〉（头）向下垂：～着头。</explain>
      <paraID>41794F0E</paraID>
      <start>10</start>
      <end>11</end>
      <status>modified</status>
      <modifiedWord>低</modifiedWord>
      <trackRevisions>false</trackRevisions>
    </reviewItem>
    <reviewItem>
      <errorID>b7c8b0bb-03d6-481b-90eb-246d47e8d0d5</errorID>
      <errorWord>在</errorWord>
      <group>L1_Word</group>
      <groupName>字词问题</groupName>
      <ability>L2_Typo</ability>
      <abilityName>字词错误</abilityName>
      <candidateList>
        <item>在收</item>
      </candidateList>
      <explain/>
      <paraID>10C71AB5</paraID>
      <start>64</start>
      <end>66</end>
      <status>modified</status>
      <modifiedWord>在收</modifiedWord>
      <trackRevisions>false</trackRevisions>
    </reviewItem>
    <reviewItem>
      <errorID>7f2363b3-4aa7-4ae5-b45c-41fb1dd08705</errorID>
      <errorWord>回复发射</errorWord>
      <group>L1_Word</group>
      <groupName>字词问题</groupName>
      <ability>L2_Typo</ability>
      <abilityName>字词错误</abilityName>
      <candidateList>
        <item>恢复发射</item>
      </candidateList>
      <explain/>
      <paraID>10C71AB5</paraID>
      <start>124</start>
      <end>128</end>
      <status>ignored</status>
      <modifiedWord/>
      <trackRevisions>false</trackRevisions>
    </reviewItem>
    <reviewItem>
      <errorID>4b48e88d-e4f6-4225-92ec-369efba0b7ff</errorID>
      <errorWord>需较</errorWord>
      <group>L1_Word</group>
      <groupName>字词问题</groupName>
      <ability>L2_Typo</ability>
      <abilityName>字词错误</abilityName>
      <candidateList>
        <item>需</item>
      </candidateList>
      <explain>❶〈动〉需要：～求｜按～分配｜完成任务还～五天时间。❷需用的东西：军～。</explain>
      <paraID>72D1F530</paraID>
      <start>95</start>
      <end>96</end>
      <status>modified</status>
      <modifiedWord>需</modifiedWord>
      <trackRevisions>false</trackRevisions>
    </reviewItem>
    <reviewItem>
      <errorID>59ec193f-ac0d-4fa6-9ff5-00f339de8656</errorID>
      <errorWord>，使</errorWord>
      <group>L1_Word</group>
      <groupName>字词问题</groupName>
      <ability>L2_Typo</ability>
      <abilityName>字词错误</abilityName>
      <candidateList>
        <item>，</item>
      </candidateList>
      <explain/>
      <paraID>657C98D4</paraID>
      <start>63</start>
      <end>64</end>
      <status>modified</status>
      <modifiedWord>，</modifiedWord>
      <trackRevisions>false</trackRevisions>
    </reviewItem>
    <reviewItem>
      <errorID>83132a18-21b5-4703-a760-17d13aca73e0</errorID>
      <errorWord>可</errorWord>
      <group>L1_Word</group>
      <groupName>字词问题</groupName>
      <ability>L2_Typo</ability>
      <abilityName>字词错误</abilityName>
      <candidateList>
        <item>可以</item>
      </candidateList>
      <explain>〈口〉〈形〉❶好；不坏；过得去：这篇文章写得还～。❷厉害：你这张嘴真～｜天气实在热得～。</explain>
      <paraID>4B62AAA8</paraID>
      <start>88</start>
      <end>90</end>
      <status>modified</status>
      <modifiedWord>可以</modifiedWord>
      <trackRevisions>false</trackRevisions>
    </reviewItem>
    <reviewItem>
      <errorID>576feb70-346a-4f14-8d1c-3c167b0aee3e</errorID>
      <errorWord>出于</errorWord>
      <group>L1_Word</group>
      <groupName>字词问题</groupName>
      <ability>L2_Typo</ability>
      <abilityName>字词错误</abilityName>
      <candidateList>
        <item>处于</item>
      </candidateList>
      <explain>〈动〉在某种地位或状态：～优势｜伤员～昏迷状态。</explain>
      <paraID>594556B5</paraID>
      <start>117</start>
      <end>119</end>
      <status>modified</status>
      <modifiedWord>处于</modifiedWord>
      <trackRevisions>false</trackRevisions>
    </reviewItem>
    <reviewItem>
      <errorID>8d358ff6-654d-4e66-8107-ca0ed299c49f</errorID>
      <errorWord>在</errorWord>
      <group>L1_Word</group>
      <groupName>字词问题</groupName>
      <ability>L2_Typo</ability>
      <abilityName>字词错误</abilityName>
      <candidateList>
        <item>在收</item>
      </candidateList>
      <explain/>
      <paraID>4A6D2371</paraID>
      <start>65</start>
      <end>67</end>
      <status>modified</status>
      <modifiedWord>在收</modifiedWord>
      <trackRevisions>false</trackRevisions>
    </reviewItem>
    <reviewItem>
      <errorID>37e5e51b-cb20-41ae-8dba-e04d48d10aab</errorID>
      <errorWord>回复发射</errorWord>
      <group>L1_Word</group>
      <groupName>字词问题</groupName>
      <ability>L2_Typo</ability>
      <abilityName>字词错误</abilityName>
      <candidateList>
        <item>恢复发射</item>
      </candidateList>
      <explain/>
      <paraID>4A6D2371</paraID>
      <start>125</start>
      <end>129</end>
      <status>modified</status>
      <modifiedWord>恢复发射</modifiedWord>
      <trackRevisions>false</trackRevisions>
    </reviewItem>
    <reviewItem>
      <errorID>b83b19e4-dd14-4c40-8034-5e3fde35d5d1</errorID>
      <errorWord>好</errorWord>
      <group>L1_Word</group>
      <groupName>字词问题</groupName>
      <ability>L2_Typo</ability>
      <abilityName>字词错误</abilityName>
      <candidateList>
        <item>好地</item>
      </candidateList>
      <explain/>
      <paraID>54E4FB0B</paraID>
      <start>113</start>
      <end>115</end>
      <status>modified</status>
      <modifiedWord>好地</modifiedWord>
      <trackRevisions>false</trackRevisions>
    </reviewItem>
    <reviewItem>
      <errorID>91163497-4d0f-46a3-bb27-f05ac74e0b48</errorID>
      <errorWord>,</errorWord>
      <group>L1_Format</group>
      <groupName>格式问题</groupName>
      <ability>L2_HalfPunc</ability>
      <abilityName>全半角检查</abilityName>
      <candidateList>
        <item>，</item>
      </candidateList>
      <explain>文本全半角错误。</explain>
      <paraID>5B90E54C</paraID>
      <start>41</start>
      <end>42</end>
      <status>modified</status>
      <modifiedWord>，</modifiedWord>
      <trackRevisions>false</trackRevisions>
    </reviewItem>
    <reviewItem>
      <errorID>2b463fb0-0266-490e-9492-0bb418899d3a</errorID>
      <errorWord>;</errorWord>
      <group>L1_Format</group>
      <groupName>格式问题</groupName>
      <ability>L2_HalfPunc</ability>
      <abilityName>全半角检查</abilityName>
      <candidateList>
        <item>；</item>
      </candidateList>
      <explain>文本全半角错误。</explain>
      <paraID>40FF7B3A</paraID>
      <start>31</start>
      <end>32</end>
      <status>modified</status>
      <modifiedWord>；</modifiedWord>
      <trackRevisions>false</trackRevisions>
    </reviewItem>
    <reviewItem>
      <errorID>380ea548-3808-4706-adbb-69095a458927</errorID>
      <errorWord>;</errorWord>
      <group>L1_Format</group>
      <groupName>格式问题</groupName>
      <ability>L2_HalfPunc</ability>
      <abilityName>全半角检查</abilityName>
      <candidateList>
        <item>；</item>
      </candidateList>
      <explain>文本全半角错误。</explain>
      <paraID>40FF7B3A</paraID>
      <start>45</start>
      <end>46</end>
      <status>modified</status>
      <modifiedWord>；</modifiedWord>
      <trackRevisions>false</trackRevisions>
    </reviewItem>
    <reviewItem>
      <errorID>8214f6a6-5fdb-4054-b66e-d40df5115fa8</errorID>
      <errorWord>;</errorWord>
      <group>L1_Format</group>
      <groupName>格式问题</groupName>
      <ability>L2_HalfPunc</ability>
      <abilityName>全半角检查</abilityName>
      <candidateList>
        <item>；</item>
      </candidateList>
      <explain>文本全半角错误。</explain>
      <paraID>40FF7B3A</paraID>
      <start>63</start>
      <end>64</end>
      <status>modified</status>
      <modifiedWord>；</modifiedWord>
      <trackRevisions>false</trackRevisions>
    </reviewItem>
    <reviewItem>
      <errorID>43da5adc-bf8f-4f04-8203-6febaa524d27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466FE0DD</paraID>
      <start>0</start>
      <end>2</end>
      <status>modified</status>
      <modifiedWord>1.</modifiedWord>
      <trackRevisions>false</trackRevisions>
    </reviewItem>
    <reviewItem>
      <errorID>62498c2a-0740-4ea7-a562-747b2b233a39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21E97A6B</paraID>
      <start>0</start>
      <end>2</end>
      <status>modified</status>
      <modifiedWord>2.</modifiedWord>
      <trackRevisions>false</trackRevisions>
    </reviewItem>
    <reviewItem>
      <errorID>7fe21a11-e5a4-48c9-bde9-8e3969ca2696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2A523143</paraID>
      <start>0</start>
      <end>2</end>
      <status>modified</status>
      <modifiedWord>3.</modifiedWord>
      <trackRevisions>false</trackRevisions>
    </reviewItem>
    <reviewItem>
      <errorID>a9c58e41-fe22-44d0-9e92-21432536fd10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18BB1968</paraID>
      <start>0</start>
      <end>2</end>
      <status>modified</status>
      <modifiedWord>4.</modifiedWord>
      <trackRevisions>false</trackRevisions>
    </reviewItem>
    <reviewItem>
      <errorID>c2bbcfcb-671d-47a4-a549-b5e9b3a41edd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2347DE76</paraID>
      <start>0</start>
      <end>2</end>
      <status>modified</status>
      <modifiedWord>5.</modifiedWord>
      <trackRevisions>false</trackRevisions>
    </reviewItem>
    <reviewItem>
      <errorID>a2f5b71f-1c18-4b7b-a92b-31a12bc2775e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4123EC9A</paraID>
      <start>0</start>
      <end>2</end>
      <status>modified</status>
      <modifiedWord>6.</modifiedWord>
      <trackRevisions>false</trackRevisions>
    </reviewItem>
    <reviewItem>
      <errorID>60b6814f-8d4d-4877-a6d9-b9dbae616496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AD7BB41</paraID>
      <start>0</start>
      <end>2</end>
      <status>modified</status>
      <modifiedWord>1.</modifiedWord>
      <trackRevisions>false</trackRevisions>
    </reviewItem>
    <reviewItem>
      <errorID>1f556415-07eb-4b0c-a6b2-75a832f9860f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15EC72D4</paraID>
      <start>0</start>
      <end>2</end>
      <status>modified</status>
      <modifiedWord>2.</modifiedWord>
      <trackRevisions>false</trackRevisions>
    </reviewItem>
    <reviewItem>
      <errorID>52a7c237-ce4b-454a-95b1-d7b1191b7cd8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6CEEBF04</paraID>
      <start>0</start>
      <end>2</end>
      <status>modified</status>
      <modifiedWord>3.</modifiedWord>
      <trackRevisions>false</trackRevisions>
    </reviewItem>
    <reviewItem>
      <errorID>91e1457e-db0a-468e-bdca-90ad1b18f5c5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3BF390DB</paraID>
      <start>0</start>
      <end>2</end>
      <status>modified</status>
      <modifiedWord>4.</modifiedWord>
      <trackRevisions>false</trackRevisions>
    </reviewItem>
    <reviewItem>
      <errorID>81670bc9-836d-4f2b-8d11-94ef6bbff174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23303C2B</paraID>
      <start>0</start>
      <end>2</end>
      <status>modified</status>
      <modifiedWord>5.</modifiedWord>
      <trackRevisions>false</trackRevisions>
    </reviewItem>
    <reviewItem>
      <errorID>59016ee3-677e-4726-a374-26c120365ca2</errorID>
      <errorWord>数据安全法</errorWord>
      <group>L1_Knowledge</group>
      <groupName>知识性问题</groupName>
      <ability>L2_Knowledge</ability>
      <abilityName>其他知识</abilityName>
      <candidateList>
        <item>中华人民共和国数据安全法</item>
      </candidateList>
      <explain>当前法律法规名称使用简称，请注意是否应当使用全称。</explain>
      <paraID>6DEC1820</paraID>
      <start>11</start>
      <end>23</end>
      <status>modified</status>
      <modifiedWord>中华人民共和国数据安全法</modifiedWord>
      <trackRevisions>false</trackRevisions>
    </reviewItem>
    <reviewItem>
      <errorID>7487a027-4934-48c3-bdd4-338fe1b2382b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6DEC1820</paraID>
      <start>23</start>
      <end>25</end>
      <status>modified</status>
      <modifiedWord>》《</modifiedWord>
      <trackRevisions>false</trackRevisions>
    </reviewItem>
    <reviewItem>
      <errorID>47fb6e05-62df-40ab-ac89-e849ad489c26</errorID>
      <errorWord>网络安全法</errorWord>
      <group>L1_Knowledge</group>
      <groupName>知识性问题</groupName>
      <ability>L2_Knowledge</ability>
      <abilityName>其他知识</abilityName>
      <candidateList>
        <item>中华人民共和国网络安全法</item>
      </candidateList>
      <explain>当前法律法规名称使用简称，请注意是否应当使用全称。</explain>
      <paraID>6DEC1820</paraID>
      <start>25</start>
      <end>37</end>
      <status>modified</status>
      <modifiedWord>中华人民共和国网络安全法</modifiedWord>
      <trackRevisions>false</trackRevisions>
    </reviewItem>
    <reviewItem>
      <errorID>048672be-3912-493c-a215-619274b77a2f</errorID>
      <errorWord>-</errorWord>
      <group>L1_Format</group>
      <groupName>格式问题</groupName>
      <ability>L2_HalfPunc</ability>
      <abilityName>全半角检查</abilityName>
      <candidateList>
        <item>－</item>
      </candidateList>
      <explain>文本全半角错误。</explain>
      <paraID>3B8BACBE</paraID>
      <start>17</start>
      <end>18</end>
      <status>modified</status>
      <modifiedWord>－</modifiedWord>
      <trackRevisions>false</trackRevisions>
    </reviewItem>
    <reviewItem>
      <errorID>9fd3ddf7-6da8-41c9-92bd-eb310b791b4e</errorID>
      <errorWord>-</errorWord>
      <group>L1_Format</group>
      <groupName>格式问题</groupName>
      <ability>L2_HalfPunc</ability>
      <abilityName>全半角检查</abilityName>
      <candidateList>
        <item>－</item>
      </candidateList>
      <explain>文本全半角错误。</explain>
      <paraID>3B8BACBE</paraID>
      <start>20</start>
      <end>21</end>
      <status>modified</status>
      <modifiedWord>－</modifiedWord>
      <trackRevisions>false</trackRevisions>
    </reviewItem>
    <reviewItem>
      <errorID>4ae080ee-8569-4f3c-a87e-c18f27d709ee</errorID>
      <errorWord>-</errorWord>
      <group>L1_Format</group>
      <groupName>格式问题</groupName>
      <ability>L2_HalfPunc</ability>
      <abilityName>全半角检查</abilityName>
      <candidateList>
        <item>－</item>
      </candidateList>
      <explain>文本全半角错误。</explain>
      <paraID>3B8BACBE</paraID>
      <start>23</start>
      <end>24</end>
      <status>modified</status>
      <modifiedWord>－</modifiedWord>
      <trackRevisions>false</trackRevisions>
    </reviewItem>
    <reviewItem>
      <errorID>9645be2e-c731-416b-b4d7-af6d7283ca9f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336423D7</paraID>
      <start>0</start>
      <end>2</end>
      <status>modified</status>
      <modifiedWord>1.</modifiedWord>
      <trackRevisions>false</trackRevisions>
    </reviewItem>
    <reviewItem>
      <errorID>9c1b28e9-5502-4a45-9c4b-b304e87f69c8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C98BF9A</paraID>
      <start>0</start>
      <end>2</end>
      <status>modified</status>
      <modifiedWord>2.</modifiedWord>
      <trackRevisions>false</trackRevisions>
    </reviewItem>
    <reviewItem>
      <errorID>83d1bd78-3c51-4460-b2b3-8e2300f11053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C670995</paraID>
      <start>0</start>
      <end>2</end>
      <status>modified</status>
      <modifiedWord>1.</modifiedWord>
      <trackRevisions>false</trackRevisions>
    </reviewItem>
    <reviewItem>
      <errorID>073a6298-83d8-4463-a511-2d70f88e633e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675693BC</paraID>
      <start>0</start>
      <end>2</end>
      <status>modified</status>
      <modifiedWord>2.</modifiedWord>
      <trackRevisions>false</trackRevisions>
    </reviewItem>
    <reviewItem>
      <errorID>b1b295a0-908f-405c-b7ba-0e9f57ccba41</errorID>
      <errorWord>-</errorWord>
      <group>L1_Format</group>
      <groupName>格式问题</groupName>
      <ability>L2_HalfPunc</ability>
      <abilityName>全半角检查</abilityName>
      <candidateList>
        <item>－</item>
      </candidateList>
      <explain>文本全半角错误。</explain>
      <paraID> F92507F</paraID>
      <start>23</start>
      <end>24</end>
      <status>modified</status>
      <modifiedWord>－</modifiedWord>
      <trackRevisions>false</trackRevisions>
    </reviewItem>
    <reviewItem>
      <errorID>613b51e8-1650-4870-9f2b-3adffcad9d32</errorID>
      <errorWord>-</errorWord>
      <group>L1_Format</group>
      <groupName>格式问题</groupName>
      <ability>L2_HalfPunc</ability>
      <abilityName>全半角检查</abilityName>
      <candidateList>
        <item>－</item>
      </candidateList>
      <explain>文本全半角错误。</explain>
      <paraID> F92507F</paraID>
      <start>27</start>
      <end>28</end>
      <status>modified</status>
      <modifiedWord>－</modifiedWord>
      <trackRevisions>false</trackRevisions>
    </reviewItem>
    <reviewItem>
      <errorID>41cdc1e3-a90a-402f-9ac0-9ef19b2a7339</errorID>
      <errorWord>-</errorWord>
      <group>L1_Format</group>
      <groupName>格式问题</groupName>
      <ability>L2_HalfPunc</ability>
      <abilityName>全半角检查</abilityName>
      <candidateList>
        <item>－</item>
      </candidateList>
      <explain>文本全半角错误。</explain>
      <paraID>6DA0FB7F</paraID>
      <start>34</start>
      <end>35</end>
      <status>modified</status>
      <modifiedWord>－</modifiedWord>
      <trackRevisions>false</trackRevisions>
    </reviewItem>
    <reviewItem>
      <errorID>18d42483-5c0a-4a52-80f6-917dfc6c98db</errorID>
      <errorWord>-</errorWord>
      <group>L1_Format</group>
      <groupName>格式问题</groupName>
      <ability>L2_HalfPunc</ability>
      <abilityName>全半角检查</abilityName>
      <candidateList>
        <item>－</item>
      </candidateList>
      <explain>文本全半角错误。</explain>
      <paraID>6DA0FB7F</paraID>
      <start>37</start>
      <end>38</end>
      <status>modified</status>
      <modifiedWord>－</modifiedWord>
      <trackRevisions>false</trackRevisions>
    </reviewItem>
    <reviewItem>
      <errorID>5a2c1675-a868-4cea-b7a5-0efa78d02781</errorID>
      <errorWord>-</errorWord>
      <group>L1_Format</group>
      <groupName>格式问题</groupName>
      <ability>L2_HalfPunc</ability>
      <abilityName>全半角检查</abilityName>
      <candidateList>
        <item>－</item>
      </candidateList>
      <explain>文本全半角错误。</explain>
      <paraID>6DA0FB7F</paraID>
      <start>40</start>
      <end>41</end>
      <status>modified</status>
      <modifiedWord>－</modifiedWord>
      <trackRevisions>false</trackRevisions>
    </reviewItem>
    <reviewItem>
      <errorID>1dd9f59c-00ab-4cca-90f2-f64db164b239</errorID>
      <errorWord>交通运输等外部</errorWord>
      <group>L1_Knowledge</group>
      <groupName>知识性问题</groupName>
      <ability>L2_Organization</ability>
      <abilityName>机构检查</abilityName>
      <candidateList>
        <item>交通运输部</item>
      </candidateList>
      <explain>机关单位全简称表述错误</explain>
      <paraID>627DA1C1</paraID>
      <start>17</start>
      <end>22</end>
      <status>modified</status>
      <modifiedWord>交通运输部</modifiedWord>
      <trackRevisions>false</trackRevisions>
    </reviewItem>
    <reviewItem>
      <errorID>34369321-2fe8-41d9-a42c-01f79f53a4a1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7DD7AF04</paraID>
      <start>0</start>
      <end>2</end>
      <status>modified</status>
      <modifiedWord>1.</modifiedWord>
      <trackRevisions>false</trackRevisions>
    </reviewItem>
    <reviewItem>
      <errorID>4b61fc17-86fd-42e9-b333-608fad0e1fba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1C16A679</paraID>
      <start>0</start>
      <end>2</end>
      <status>modified</status>
      <modifiedWord>2.</modifiedWord>
      <trackRevisions>false</trackRevisions>
    </reviewItem>
    <reviewItem>
      <errorID>aff15c04-0f7e-4b7a-8623-65fff55d3ce5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5D242501</paraID>
      <start>0</start>
      <end>2</end>
      <status>modified</status>
      <modifiedWord>1.</modifiedWord>
      <trackRevisions>false</trackRevisions>
    </reviewItem>
    <reviewItem>
      <errorID>ebd84967-3ffd-436d-9eac-d24e9e648701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2A9DFD1B</paraID>
      <start>0</start>
      <end>2</end>
      <status>modified</status>
      <modifiedWord>2.</modifiedWord>
      <trackRevisions>false</trackRevisions>
    </reviewItem>
    <reviewItem>
      <errorID>a69773ac-e3ee-435f-86c4-09ee87b7ebf5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7A76CF1F</paraID>
      <start>0</start>
      <end>2</end>
      <status>modified</status>
      <modifiedWord>3.</modifiedWord>
      <trackRevisions>false</trackRevisions>
    </reviewItem>
    <reviewItem>
      <errorID>4a85d12e-9434-4371-9c5e-ce034ad081af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3C8E58BE</paraID>
      <start>0</start>
      <end>2</end>
      <status>modified</status>
      <modifiedWord>1.</modifiedWord>
      <trackRevisions>false</trackRevisions>
    </reviewItem>
    <reviewItem>
      <errorID>6a637ad3-d9f5-4b29-9ba7-8ecbd979d445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E624A87</paraID>
      <start>0</start>
      <end>2</end>
      <status>modified</status>
      <modifiedWord>2.</modifiedWord>
      <trackRevisions>false</trackRevisions>
    </reviewItem>
    <reviewItem>
      <errorID>5dc3dc5f-8146-415d-a5a9-93463c3e9417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6D475852</paraID>
      <start>0</start>
      <end>2</end>
      <status>modified</status>
      <modifiedWord>3.</modifiedWord>
      <trackRevisions>false</trackRevisions>
    </reviewItem>
    <reviewItem>
      <errorID>a4c560ec-63a2-4116-9bfd-19f75d5b0421</errorID>
      <errorWord>参照的</errorWord>
      <group>L1_Word</group>
      <groupName>字词问题</groupName>
      <ability>L2_Typo</ability>
      <abilityName>字词错误</abilityName>
      <candidateList>
        <item>参照</item>
      </candidateList>
      <explain/>
      <paraID>4A3D1129</paraID>
      <start>3</start>
      <end>5</end>
      <status>modified</status>
      <modifiedWord>参照</modifiedWord>
      <trackRevisions>false</trackRevisions>
    </reviewItem>
    <reviewItem>
      <errorID>263bdcb7-5768-4b37-b79f-e85d0642876b</errorID>
      <errorWord>保守国家秘密法</errorWord>
      <group>L1_Knowledge</group>
      <groupName>知识性问题</groupName>
      <ability>L2_Knowledge</ability>
      <abilityName>其他知识</abilityName>
      <candidateList>
        <item>中华人民共和国保守国家秘密法</item>
      </candidateList>
      <explain>当前法律法规名称使用简称，请注意是否应当使用全称。</explain>
      <paraID>170E5B3C</paraID>
      <start>7</start>
      <end>21</end>
      <status>modified</status>
      <modifiedWord>中华人民共和国保守国家秘密法</modifiedWord>
      <trackRevisions>false</trackRevisions>
    </reviewItem>
    <reviewItem>
      <errorID>446bfab8-7be6-4abc-9c62-2db9fba1ee2f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170E5B3C</paraID>
      <start>21</start>
      <end>23</end>
      <status>modified</status>
      <modifiedWord>》《</modifiedWord>
      <trackRevisions>false</trackRevisions>
    </reviewItem>
    <reviewItem>
      <errorID>d49da3a8-2087-4f42-8914-54bc6514f1d7</errorID>
      <errorWord>反恐怖主义法</errorWord>
      <group>L1_Knowledge</group>
      <groupName>知识性问题</groupName>
      <ability>L2_Knowledge</ability>
      <abilityName>其他知识</abilityName>
      <candidateList>
        <item>中华人民共和国反恐怖主义法</item>
      </candidateList>
      <explain>当前法律法规名称使用简称，请注意是否应当使用全称。</explain>
      <paraID>170E5B3C</paraID>
      <start>23</start>
      <end>36</end>
      <status>modified</status>
      <modifiedWord>中华人民共和国反恐怖主义法</modifiedWord>
      <trackRevisions>false</trackRevisions>
    </reviewItem>
    <reviewItem>
      <errorID>d08ab77a-c3a8-4070-8eb9-11ef1fc54947</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170E5B3C</paraID>
      <start>36</start>
      <end>38</end>
      <status>modified</status>
      <modifiedWord>》《</modifiedWord>
      <trackRevisions>false</trackRevisions>
    </reviewItem>
    <reviewItem>
      <errorID>2c1d5e26-fb74-45e1-b77e-8adfd382eee4</errorID>
      <errorWord>数据安全法</errorWord>
      <group>L1_Knowledge</group>
      <groupName>知识性问题</groupName>
      <ability>L2_Knowledge</ability>
      <abilityName>其他知识</abilityName>
      <candidateList>
        <item>中华人民共和国数据安全法</item>
      </candidateList>
      <explain>当前法律法规名称使用简称，请注意是否应当使用全称。</explain>
      <paraID>170E5B3C</paraID>
      <start>38</start>
      <end>50</end>
      <status>modified</status>
      <modifiedWord>中华人民共和国数据安全法</modifiedWord>
      <trackRevisions>false</trackRevisions>
    </reviewItem>
    <reviewItem>
      <errorID>d86e6789-d661-4b76-b69a-eef247ab4d28</errorID>
      <errorWord>项目中</errorWord>
      <group>L1_Word</group>
      <groupName>字词问题</groupName>
      <ability>L2_Typo</ability>
      <abilityName>字词错误</abilityName>
      <candidateList>
        <item>项目</item>
      </candidateList>
      <explain>〈名〉事物分成的门类：服务～｜体育～｜建设～。</explain>
      <paraID>669AB298</paraID>
      <start>119</start>
      <end>121</end>
      <status>modified</status>
      <modifiedWord>项目</modifiedWord>
      <trackRevisions>false</trackRevisions>
    </reviewItem>
    <reviewItem>
      <errorID>4ca0fe05-a8b1-4820-99d6-0d8ef1496ca9</errorID>
      <errorWord>项项</errorWord>
      <group>L1_Word</group>
      <groupName>字词问题</groupName>
      <ability>L2_Typo</ability>
      <abilityName>字词错误</abilityName>
      <candidateList>
        <item>项</item>
      </candidateList>
      <explain/>
      <paraID>5760A7C1</paraID>
      <start>18</start>
      <end>19</end>
      <status>modified</status>
      <modifiedWord>项</modifiedWord>
      <trackRevisions>false</trackRevisions>
    </reviewItem>
    <reviewItem>
      <errorID>16eed3d9-f680-4ac9-83c0-627641453ea7</errorID>
      <errorWord>限</errorWord>
      <group>L1_Word</group>
      <groupName>字词问题</groupName>
      <ability>L2_Typo</ability>
      <abilityName>字词错误</abilityName>
      <candidateList>
        <item>限于</item>
      </candidateList>
      <explain/>
      <paraID>3DFC610E</paraID>
      <start>29</start>
      <end>31</end>
      <status>modified</status>
      <modifiedWord>限于</modifiedWord>
      <trackRevisions>false</trackRevisions>
    </reviewItem>
    <reviewItem>
      <errorID>6e83936f-c7a7-4916-a3ff-ca59a5de2ba5</errorID>
      <errorWord>《中华人民共和国保密法》</errorWord>
      <group>L1_Political</group>
      <groupName>政治性问题</groupName>
      <ability>L2_Unpolitical</ability>
      <abilityName>政治敏感错误</abilityName>
      <candidateList>
        <item>《中华人民共和国保守国家秘密法》</item>
      </candidateList>
      <explain/>
      <paraID>2C9B0DEC</paraID>
      <start>30</start>
      <end>46</end>
      <status>modified</status>
      <modifiedWord>《中华人民共和国保守国家秘密法》</modifiedWord>
      <trackRevisions>false</trackRevisions>
    </reviewItem>
    <reviewItem>
      <errorID>259f857e-1b2a-4f8e-90d3-285d481ffb11</errorID>
      <errorWord>数据安全法</errorWord>
      <group>L1_Knowledge</group>
      <groupName>知识性问题</groupName>
      <ability>L2_Knowledge</ability>
      <abilityName>其他知识</abilityName>
      <candidateList>
        <item>中华人民共和国数据安全法</item>
      </candidateList>
      <explain>当前法律法规名称使用简称，请注意是否应当使用全称。</explain>
      <paraID>2C9B0DEC</paraID>
      <start>61</start>
      <end>73</end>
      <status>modified</status>
      <modifiedWord>中华人民共和国数据安全法</modifiedWord>
      <trackRevisions>false</trackRevisions>
    </reviewItem>
    <reviewItem>
      <errorID>3120fbd3-3706-4d90-93e9-c8e7323f9f4a</errorID>
      <errorWord>组织的</errorWord>
      <group>L1_Word</group>
      <groupName>字词问题</groupName>
      <ability>L2_Typo</ability>
      <abilityName>字词错误</abilityName>
      <candidateList>
        <item>组织</item>
      </candidateList>
      <explain>❶〈动〉安排分散的人或事物使具有一定的系统性或整体性：～人力｜～联欢晚会｜这篇文章～得很好。❷〈名〉系统；配合关系：～严密｜～松散。❸〈名〉纺织品经纬纱线的结构：平纹～｜斜纹～｜缎纹～。❹〈名〉机体中构成器官的单位，是由许多形态和功能相同的细胞按一定的方式结合而成的。人和高等动物体内有上皮组织、结缔组织、肌组织和神经组织。❺〈名〉按照一定的宗旨和系统建立起来的集体：党团～｜工会～｜向～汇报工作。</explain>
      <paraID>3E72FF44</paraID>
      <start>138</start>
      <end>140</end>
      <status>modified</status>
      <modifiedWord>组织</modifiedWord>
      <trackRevisions>false</trackRevisions>
    </reviewItem>
    <reviewItem>
      <errorID>68309a00-f9f4-48ad-91c8-295c66e9b5d5</errorID>
      <errorWord>访谈的</errorWord>
      <group>L1_Word</group>
      <groupName>字词问题</groupName>
      <ability>L2_Typo</ability>
      <abilityName>字词错误</abilityName>
      <candidateList>
        <item>访谈</item>
      </candidateList>
      <explain/>
      <paraID>72834393</paraID>
      <start>57</start>
      <end>59</end>
      <status>modified</status>
      <modifiedWord>访谈</modifiedWord>
      <trackRevisions>false</trackRevisions>
    </reviewItem>
    <reviewItem>
      <errorID>40f8665d-7c02-486e-973c-848525006b95</errorID>
      <errorWord>)</errorWord>
      <group>L1_Format</group>
      <groupName>格式问题</groupName>
      <ability>L2_HalfPunc</ability>
      <abilityName>全半角检查</abilityName>
      <candidateList>
        <item>）</item>
      </candidateList>
      <explain>文本全半角错误。</explain>
      <paraID> 116D723</paraID>
      <start>128</start>
      <end>129</end>
      <status>modified</status>
      <modifiedWord>）</modifiedWord>
      <trackRevisions>false</trackRevisions>
    </reviewItem>
    <reviewItem>
      <errorID>f3ddcb00-035f-4302-9574-110affe9b4b4</errorID>
      <errorWord>指定者</errorWord>
      <group>L1_Word</group>
      <groupName>字词问题</groupName>
      <ability>L2_Typo</ability>
      <abilityName>字词错误</abilityName>
      <candidateList>
        <item>指定</item>
      </candidateList>
      <explain/>
      <paraID>3D42AA8D</paraID>
      <start>54</start>
      <end>56</end>
      <status>modified</status>
      <modifiedWord>指定</modifiedWord>
      <trackRevisions>false</trackRevisions>
    </reviewItem>
    <reviewItem>
      <errorID>06ad3805-a52a-403f-b9c2-381ea80b3402</errorID>
      <errorWord>最小</errorWord>
      <group>L1_Word</group>
      <groupName>字词问题</groupName>
      <ability>L2_Typo</ability>
      <abilityName>字词错误</abilityName>
      <candidateList>
        <item>最低</item>
      </candidateList>
      <explain/>
      <paraID>4195A695</paraID>
      <start>37</start>
      <end>39</end>
      <status>modified</status>
      <modifiedWord>最低</modifiedWord>
      <trackRevisions>false</trackRevisions>
    </reviewItem>
    <reviewItem>
      <errorID>1d351662-08b4-4b77-af90-1033abb46a83</errorID>
      <errorWord>网络安全法</errorWord>
      <group>L1_Knowledge</group>
      <groupName>知识性问题</groupName>
      <ability>L2_Knowledge</ability>
      <abilityName>其他知识</abilityName>
      <candidateList>
        <item>中华人民共和国网络安全法</item>
      </candidateList>
      <explain>当前法律法规名称使用简称，请注意是否应当使用全称。</explain>
      <paraID>6EF2DEA8</paraID>
      <start>3</start>
      <end>15</end>
      <status>modified</status>
      <modifiedWord>中华人民共和国网络安全法</modifiedWord>
      <trackRevisions>false</trackRevisions>
    </reviewItem>
    <reviewItem>
      <errorID>a3f278ee-662d-4d06-b6cd-2c0444689e9c</errorID>
      <errorWord>数据安全法</errorWord>
      <group>L1_Knowledge</group>
      <groupName>知识性问题</groupName>
      <ability>L2_Knowledge</ability>
      <abilityName>其他知识</abilityName>
      <candidateList>
        <item>中华人民共和国数据安全法</item>
      </candidateList>
      <explain>当前法律法规名称使用简称，请注意是否应当使用全称。</explain>
      <paraID>6EF2DEA8</paraID>
      <start>24</start>
      <end>36</end>
      <status>modified</status>
      <modifiedWord>中华人民共和国数据安全法</modifiedWord>
      <trackRevisions>false</trackRevisions>
    </reviewItem>
    <reviewItem>
      <errorID>e5bc4869-b069-4327-a03d-0ab8023bcb46</errorID>
      <errorWord>个人信息保护法</errorWord>
      <group>L1_Knowledge</group>
      <groupName>知识性问题</groupName>
      <ability>L2_Knowledge</ability>
      <abilityName>其他知识</abilityName>
      <candidateList>
        <item>中华人民共和国个人信息保护法</item>
      </candidateList>
      <explain>当前法律法规名称使用简称，请注意是否应当使用全称。</explain>
      <paraID>6EF2DEA8</paraID>
      <start>38</start>
      <end>52</end>
      <status>modified</status>
      <modifiedWord>中华人民共和国个人信息保护法</modifiedWord>
      <trackRevisions>false</trackRevisions>
    </reviewItem>
    <reviewItem>
      <errorID>bb6acc27-6e83-4b9e-b67a-f91aed1c93fd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7654CF7C</paraID>
      <start>0</start>
      <end>2</end>
      <status>modified</status>
      <modifiedWord>1.</modifiedWord>
      <trackRevisions>false</trackRevisions>
    </reviewItem>
    <reviewItem>
      <errorID>5aa42b00-d339-4e01-96b4-b3b41d3b42d9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1A67E466</paraID>
      <start>0</start>
      <end>2</end>
      <status>modified</status>
      <modifiedWord>2.</modifiedWord>
      <trackRevisions>false</trackRevisions>
    </reviewItem>
    <reviewItem>
      <errorID>4b59d01c-cb3e-4d59-8f5e-21d63f3104f8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283A9054</paraID>
      <start>0</start>
      <end>2</end>
      <status>modified</status>
      <modifiedWord>3.</modifiedWord>
      <trackRevisions>false</trackRevisions>
    </reviewItem>
    <reviewItem>
      <errorID>f2aa80c8-6256-4f69-87af-6057e9eba1ad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1080423D</paraID>
      <start>0</start>
      <end>2</end>
      <status>modified</status>
      <modifiedWord>4.</modifiedWord>
      <trackRevisions>false</trackRevisions>
    </reviewItem>
    <reviewItem>
      <errorID>12a2f67d-1554-467d-9ccf-a1c892dd6b3c</errorID>
      <errorWord>基础实施</errorWord>
      <group>L1_Word</group>
      <groupName>字词问题</groupName>
      <ability>L2_Typo</ability>
      <abilityName>字词错误</abilityName>
      <candidateList>
        <item>基础设施</item>
      </candidateList>
      <explain/>
      <paraID>4DC13269</paraID>
      <start>35</start>
      <end>39</end>
      <status>modified</status>
      <modifiedWord>基础设施</modifiedWord>
      <trackRevisions>false</trackRevisions>
    </reviewItem>
    <reviewItem>
      <errorID>b9b8e268-dd2b-49ee-95c0-fc7e519ea384</errorID>
      <errorWord>保障的</errorWord>
      <group>L1_Word</group>
      <groupName>字词问题</groupName>
      <ability>L2_Typo</ability>
      <abilityName>字词错误</abilityName>
      <candidateList>
        <item>保障</item>
      </candidateList>
      <explain/>
      <paraID>6C22D834</paraID>
      <start>30</start>
      <end>32</end>
      <status>modified</status>
      <modifiedWord>保障</modifiedWord>
      <trackRevisions>false</trackRevisions>
    </reviewItem>
    <reviewItem>
      <errorID>d26101a1-1a3e-4b23-9605-652ca5be1a8c</errorID>
      <errorWord>泄露</errorWord>
      <group>L1_Word</group>
      <groupName>字词问题</groupName>
      <ability>L2_Typo</ability>
      <abilityName>字词错误</abilityName>
      <candidateList>
        <item>泄漏</item>
      </candidateList>
      <explain>存在发音相同字词的误用。</explain>
      <paraID>2C0F01BB</paraID>
      <start>52</start>
      <end>54</end>
      <status>modified</status>
      <modifiedWord>泄漏</modifiedWord>
      <trackRevisions>false</trackRevisions>
    </reviewItem>
    <reviewItem>
      <errorID>bad50418-5990-4cba-872d-d39e49963b81</errorID>
      <errorWord>用户的</errorWord>
      <group>L1_Word</group>
      <groupName>字词问题</groupName>
      <ability>L2_Typo</ability>
      <abilityName>字词错误</abilityName>
      <candidateList>
        <item>用户</item>
      </candidateList>
      <explain/>
      <paraID>76448D3A</paraID>
      <start>19</start>
      <end>21</end>
      <status>modified</status>
      <modifiedWord>用户</modifiedWord>
      <trackRevisions>false</trackRevisions>
    </reviewItem>
    <reviewItem>
      <errorID>15e16f6d-d1b8-4483-a02f-acb3c23e2633</errorID>
      <errorWord>也</errorWord>
      <group>L1_Word</group>
      <groupName>字词问题</groupName>
      <ability>L2_Typo</ability>
      <abilityName>字词错误</abilityName>
      <candidateList>
        <item>也具</item>
      </candidateList>
      <explain/>
      <paraID>367A1E66</paraID>
      <start>93</start>
      <end>95</end>
      <status>modified</status>
      <modifiedWord>也具</modifiedWord>
      <trackRevisions>false</trackRevisions>
    </reviewItem>
    <reviewItem>
      <errorID>a2979c31-1e36-4dc1-9da7-546fc6717500</errorID>
      <errorWord>-</errorWord>
      <group>L1_Format</group>
      <groupName>格式问题</groupName>
      <ability>L2_HalfPunc</ability>
      <abilityName>全半角检查</abilityName>
      <candidateList>
        <item>－</item>
      </candidateList>
      <explain>文本全半角错误。</explain>
      <paraID> F90CA10</paraID>
      <start>124</start>
      <end>125</end>
      <status>modified</status>
      <modifiedWord>－</modifiedWord>
      <trackRevisions>false</trackRevisions>
    </reviewItem>
    <reviewItem>
      <errorID>9819eb7b-2cc4-4278-aa44-f3e01568ceee</errorID>
      <errorWord>-</errorWord>
      <group>L1_Format</group>
      <groupName>格式问题</groupName>
      <ability>L2_HalfPunc</ability>
      <abilityName>全半角检查</abilityName>
      <candidateList>
        <item>－</item>
      </candidateList>
      <explain>文本全半角错误。</explain>
      <paraID> F90CA10</paraID>
      <start>138</start>
      <end>139</end>
      <status>modified</status>
      <modifiedWord>－</modifiedWord>
      <trackRevisions>false</trackRevisions>
    </reviewItem>
    <reviewItem>
      <errorID>7cfb7eac-a91e-479c-aec7-101edd182c91</errorID>
      <errorWord>泄露风险</errorWord>
      <group>L1_Word</group>
      <groupName>字词问题</groupName>
      <ability>L2_Typo</ability>
      <abilityName>字词错误</abilityName>
      <candidateList>
        <item>泄漏风险</item>
      </candidateList>
      <explain/>
      <paraID>5277F081</paraID>
      <start>58</start>
      <end>62</end>
      <status>modified</status>
      <modifiedWord>泄漏风险</modifiedWord>
      <trackRevisions>false</trackRevisions>
    </reviewItem>
    <reviewItem>
      <errorID>9847a3e6-b82a-4959-be0d-d3608f960397</errorID>
      <errorWord>即时</errorWord>
      <group>L1_Word</group>
      <groupName>字词问题</groupName>
      <ability>L2_Typo</ability>
      <abilityName>字词错误</abilityName>
      <candidateList>
        <item>及时</item>
      </candidateList>
      <explain>存在发音相同字词的误用。</explain>
      <paraID>73D01E9E</paraID>
      <start>70</start>
      <end>72</end>
      <status>modified</status>
      <modifiedWord>及时</modifiedWord>
      <trackRevisions>false</trackRevisions>
    </reviewItem>
    <reviewItem>
      <errorID>b188493b-2978-4583-a1b2-0088f0fde0d0</errorID>
      <errorWord>组织来</errorWord>
      <group>L1_Word</group>
      <groupName>字词问题</groupName>
      <ability>L2_Typo</ability>
      <abilityName>字词错误</abilityName>
      <candidateList>
        <item>组织</item>
      </candidateList>
      <explain>❶〈动〉安排分散的人或事物使具有一定的系统性或整体性：～人力｜～联欢晚会｜这篇文章～得很好。❷〈名〉系统；配合关系：～严密｜～松散。❸〈名〉纺织品经纬纱线的结构：平纹～｜斜纹～｜缎纹～。❹〈名〉机体中构成器官的单位，是由许多形态和功能相同的细胞按一定的方式结合而成的。人和高等动物体内有上皮组织、结缔组织、肌组织和神经组织。❺〈名〉按照一定的宗旨和系统建立起来的集体：党团～｜工会～｜向～汇报工作。</explain>
      <paraID>71ABB687</paraID>
      <start>19</start>
      <end>21</end>
      <status>modified</status>
      <modifiedWord>组织</modifiedWord>
      <trackRevisions>false</trackRevisions>
    </reviewItem>
    <reviewItem>
      <errorID>00465aa6-079c-4026-a10e-ee223ff18e01</errorID>
      <errorWord>个人信息保护法</errorWord>
      <group>L1_Knowledge</group>
      <groupName>知识性问题</groupName>
      <ability>L2_Knowledge</ability>
      <abilityName>其他知识</abilityName>
      <candidateList>
        <item>中华人民共和国个人信息保护法</item>
      </candidateList>
      <explain>当前法律法规名称使用简称，请注意是否应当使用全称。</explain>
      <paraID>3F73E53B</paraID>
      <start>3</start>
      <end>17</end>
      <status>modified</status>
      <modifiedWord>中华人民共和国个人信息保护法</modifiedWord>
      <trackRevisions>false</trackRevisions>
    </reviewItem>
    <reviewItem>
      <errorID>d32e88e2-595e-4695-b70b-d844e091adc8</errorID>
      <errorWord>，</errorWord>
      <group>L1_Word</group>
      <groupName>字词问题</groupName>
      <ability>L2_Typo</ability>
      <abilityName>字词错误</abilityName>
      <candidateList>
        <item>，以</item>
      </candidateList>
      <explain/>
      <paraID>6F916DE9</paraID>
      <start>16</start>
      <end>18</end>
      <status>modified</status>
      <modifiedWord>，以</modifiedWord>
      <trackRevisions>false</trackRevisions>
    </reviewItem>
    <reviewItem>
      <errorID>c1c8ca3f-ffed-4745-95cb-c8085601d6cd</errorID>
      <errorWord>执行的</errorWord>
      <group>L1_Word</group>
      <groupName>字词问题</groupName>
      <ability>L2_Typo</ability>
      <abilityName>字词错误</abilityName>
      <candidateList>
        <item>执行</item>
      </candidateList>
      <explain/>
      <paraID>43471759</paraID>
      <start>97</start>
      <end>99</end>
      <status>modified</status>
      <modifiedWord>执行</modifiedWord>
      <trackRevisions>false</trackRevisions>
    </reviewItem>
    <reviewItem>
      <errorID>9c9364af-0b0a-4852-beb3-aac3dc70f3e0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12ACBB60</paraID>
      <start>0</start>
      <end>2</end>
      <status>modified</status>
      <modifiedWord>1.</modifiedWord>
      <trackRevisions>false</trackRevisions>
    </reviewItem>
    <reviewItem>
      <errorID>8e8b6261-fc74-4d5e-b348-909755c01f3a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7914EEC8</paraID>
      <start>0</start>
      <end>2</end>
      <status>modified</status>
      <modifiedWord>2.</modifiedWord>
      <trackRevisions>false</trackRevisions>
    </reviewItem>
    <reviewItem>
      <errorID>170f4c82-cc8d-47d5-a2a7-28e8a551f61b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5A85E9DC</paraID>
      <start>0</start>
      <end>2</end>
      <status>modified</status>
      <modifiedWord>3.</modifiedWord>
      <trackRevisions>false</trackRevisions>
    </reviewItem>
    <reviewItem>
      <errorID>cab607fb-6400-46b5-a81e-2f4934b955ff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1E598B9</paraID>
      <start>0</start>
      <end>2</end>
      <status>modified</status>
      <modifiedWord>4.</modifiedWord>
      <trackRevisions>false</trackRevisions>
    </reviewItem>
    <reviewItem>
      <errorID>e65705b1-4b7d-43dc-8d55-5f7113e344b6</errorID>
      <errorWord>程</errorWord>
      <group>L1_Word</group>
      <groupName>字词问题</groupName>
      <ability>L2_Typo</ability>
      <abilityName>字词错误</abilityName>
      <candidateList>
        <item>程中</item>
      </candidateList>
      <explain/>
      <paraID> 1E598B9</paraID>
      <start>9</start>
      <end>11</end>
      <status>modified</status>
      <modifiedWord>程中</modifiedWord>
      <trackRevisions>false</trackRevisions>
    </reviewItem>
    <reviewItem>
      <errorID>a5db6590-af1b-4058-bf35-46f29afd5b28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3630A50E</paraID>
      <start>0</start>
      <end>2</end>
      <status>modified</status>
      <modifiedWord>5.</modifiedWord>
      <trackRevisions>false</trackRevisions>
    </reviewItem>
    <reviewItem>
      <errorID>ea4afb2f-3909-4ff4-ad1c-3bc021f285e9</errorID>
      <errorWord>程</errorWord>
      <group>L1_Word</group>
      <groupName>字词问题</groupName>
      <ability>L2_Typo</ability>
      <abilityName>字词错误</abilityName>
      <candidateList>
        <item>程中</item>
      </candidateList>
      <explain/>
      <paraID>3630A50E</paraID>
      <start>9</start>
      <end>11</end>
      <status>modified</status>
      <modifiedWord>程中</modifiedWord>
      <trackRevisions>false</trackRevisions>
    </reviewItem>
    <reviewItem>
      <errorID>6a82ee89-2fa5-44fb-9b9e-03fbadaacd7a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71DA5636</paraID>
      <start>0</start>
      <end>2</end>
      <status>modified</status>
      <modifiedWord>1.</modifiedWord>
      <trackRevisions>false</trackRevisions>
    </reviewItem>
    <reviewItem>
      <errorID>b344cf50-bed6-401e-ad76-e1a1cc676006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5C0CE94</paraID>
      <start>0</start>
      <end>2</end>
      <status>modified</status>
      <modifiedWord>2.</modifiedWord>
      <trackRevisions>false</trackRevisions>
    </reviewItem>
    <reviewItem>
      <errorID>61a806b7-4b10-4d1c-a3e2-011d40273d71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668EB081</paraID>
      <start>0</start>
      <end>2</end>
      <status>modified</status>
      <modifiedWord>3.</modifiedWord>
      <trackRevisions>false</trackRevisions>
    </reviewItem>
    <reviewItem>
      <errorID>45d329b2-8ede-4a0b-b2bf-d0b30761221e</errorID>
      <errorWord>项</errorWord>
      <group>L1_Knowledge</group>
      <groupName>知识性问题</groupName>
      <ability>L2_Knowledge</ability>
      <abilityName>其他知识</abilityName>
      <candidateList>
        <item>台</item>
      </candidateList>
      <explain/>
      <paraID> 25849AA</paraID>
      <start>16</start>
      <end>17</end>
      <status>modified</status>
      <modifiedWord>台</modifiedWord>
      <trackRevisions>false</trackRevisions>
    </reviewItem>
    <reviewItem>
      <errorID>38c1eebe-e83c-4d54-8908-44af093ef1b2</errorID>
      <errorWord>登记</errorWord>
      <group>L1_Word</group>
      <groupName>字词问题</groupName>
      <ability>L2_Typo</ability>
      <abilityName>字词错误</abilityName>
      <candidateList>
        <item>等级</item>
      </candidateList>
      <explain>〈名〉按质量、程度、地位等的差异而作出的区别：按商品～规定价格。</explain>
      <paraID>6F99419E</paraID>
      <start>80</start>
      <end>82</end>
      <status>modified</status>
      <modifiedWord>等级</modifiedWord>
      <trackRevisions>false</trackRevisions>
    </reviewItem>
    <reviewItem>
      <errorID>deb9f07e-6d90-4cd2-b0f2-cda155753c2b</errorID>
      <errorWord>理</errorWord>
      <group>L1_Word</group>
      <groupName>字词问题</groupName>
      <ability>L2_Typo</ability>
      <abilityName>字词错误</abilityName>
      <candidateList>
        <item>理人</item>
      </candidateList>
      <explain/>
      <paraID>6F588101</paraID>
      <start>13</start>
      <end>15</end>
      <status>modified</status>
      <modifiedWord>理人</modifiedWord>
      <trackRevisions>false</trackRevisions>
    </reviewItem>
    <reviewItem>
      <errorID>9bbb2b00-1980-419c-a6f2-921387844574</errorID>
      <errorWord>理</errorWord>
      <group>L1_Word</group>
      <groupName>字词问题</groupName>
      <ability>L2_Typo</ability>
      <abilityName>字词错误</abilityName>
      <candidateList>
        <item>理人</item>
      </candidateList>
      <explain/>
      <paraID>2C1E1AE6</paraID>
      <start>18</start>
      <end>20</end>
      <status>modified</status>
      <modifiedWord>理人</modifiedWord>
      <trackRevisions>false</trackRevisions>
    </reviewItem>
    <reviewItem>
      <errorID>c36c2b7a-b087-4daf-a158-1ce142840b73</errorID>
      <errorWord>恢复的</errorWord>
      <group>L1_Word</group>
      <groupName>字词问题</groupName>
      <ability>L2_Typo</ability>
      <abilityName>字词错误</abilityName>
      <candidateList>
        <item>恢复</item>
      </candidateList>
      <explain/>
      <paraID>54F72287</paraID>
      <start>52</start>
      <end>54</end>
      <status>modified</status>
      <modifiedWord>恢复</modifiedWord>
      <trackRevisions>false</trackRevisions>
    </reviewItem>
    <reviewItem>
      <errorID>1fca38c0-dec6-49ec-a889-38e5c213bc2e</errorID>
      <errorWord>应对</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5B4DD8A9</paraID>
      <start>2</start>
      <end>3</end>
      <status>modified</status>
      <modifiedWord>对</modifiedWord>
      <trackRevisions>false</trackRevisions>
    </reviewItem>
    <reviewItem>
      <errorID>e46a5d7e-c2f1-4099-8844-4daa796e6d45</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2D2F9D9B</paraID>
      <start>0</start>
      <end>2</end>
      <status>modified</status>
      <modifiedWord>b）</modifiedWord>
      <trackRevisions>false</trackRevisions>
    </reviewItem>
    <reviewItem>
      <errorID>958c7168-1965-4d75-94aa-889f6a7c2714</errorID>
      <errorWord>各个部门</errorWord>
      <group>L1_Word</group>
      <groupName>字词问题</groupName>
      <ability>L2_Typo</ability>
      <abilityName>字词错误</abilityName>
      <candidateList>
        <item>各部门</item>
      </candidateList>
      <explain/>
      <paraID>7B6713FF</paraID>
      <start>5</start>
      <end>8</end>
      <status>modified</status>
      <modifiedWord>各部门</modifiedWord>
      <trackRevisions>false</trackRevisions>
    </reviewItem>
    <reviewItem>
      <errorID>1aec7376-461e-4b84-9ceb-d7ceb2050663</errorID>
      <errorWord>制</errorWord>
      <group>L1_Word</group>
      <groupName>字词问题</groupName>
      <ability>L2_Typo</ability>
      <abilityName>字词错误</abilityName>
      <candidateList>
        <item>制度</item>
      </candidateList>
      <explain/>
      <paraID>1B52C220</paraID>
      <start>9</start>
      <end>11</end>
      <status>modified</status>
      <modifiedWord>制度</modifiedWord>
      <trackRevisions>false</trackRevisions>
    </reviewItem>
    <reviewItem>
      <errorID>82d249b7-26ad-4fe5-b3a7-7a89b85326a6</errorID>
      <errorWord>没</errorWord>
      <group>L1_Word</group>
      <groupName>字词问题</groupName>
      <ability>L2_Typo</ability>
      <abilityName>字词错误</abilityName>
      <candidateList>
        <item>没有</item>
      </candidateList>
      <explain>〈副〉❶表示“已然”的否定：他还～回来｜天还～黑呢。❷表示“曾经”的否定：老张上个星期～回来过｜银行昨天～开门。</explain>
      <paraID>68C51C1D</paraID>
      <start>29</start>
      <end>31</end>
      <status>modified</status>
      <modifiedWord>没有</modifiedWord>
      <trackRevisions>false</trackRevisions>
    </reviewItem>
    <reviewItem>
      <errorID>d50995f0-2aa7-48ca-bab1-9d40cc1a13b7</errorID>
      <errorWord>层面来</errorWord>
      <group>L1_Word</group>
      <groupName>字词问题</groupName>
      <ability>L2_Typo</ability>
      <abilityName>字词错误</abilityName>
      <candidateList>
        <item>层面</item>
      </candidateList>
      <explain/>
      <paraID>1F98A931</paraID>
      <start>10</start>
      <end>12</end>
      <status>modified</status>
      <modifiedWord>层面</modifiedWord>
      <trackRevisions>false</trackRevisions>
    </reviewItem>
    <reviewItem>
      <errorID>89e1f4ff-0850-47db-b810-a4ba216bafc3</errorID>
      <errorWord>至少2个节点以上</errorWord>
      <group>L1_Word</group>
      <groupName>字词问题</groupName>
      <ability>L2_Typo</ability>
      <abilityName>字词错误</abilityName>
      <candidateList>
        <item>至少2个节点</item>
      </candidateList>
      <explain/>
      <paraID>1C636C90</paraID>
      <start>24</start>
      <end>30</end>
      <status>modified</status>
      <modifiedWord>至少2个节点</modifiedWord>
      <trackRevisions>false</trackRevisions>
    </reviewItem>
    <reviewItem>
      <errorID>0ab3c755-e30c-4745-a9eb-4bea09229330</errorID>
      <errorWord>四</errorWord>
      <group>L1_Word</group>
      <groupName>字词问题</groupName>
      <ability>L2_Typo</ability>
      <abilityName>字词错误</abilityName>
      <candidateList>
        <item>四个</item>
      </candidateList>
      <explain/>
      <paraID>4270784D</paraID>
      <start>47</start>
      <end>49</end>
      <status>modified</status>
      <modifiedWord>四个</modifiedWord>
      <trackRevisions>false</trackRevisions>
    </reviewItem>
    <reviewItem>
      <errorID>7ffa4eb2-ef6d-4cd5-b381-06a278fac65b</errorID>
      <errorWord>，</errorWord>
      <group>L1_Word</group>
      <groupName>字词问题</groupName>
      <ability>L2_Typo</ability>
      <abilityName>字词错误</abilityName>
      <candidateList>
        <item>，在</item>
      </candidateList>
      <explain/>
      <paraID>251B6F74</paraID>
      <start>48</start>
      <end>50</end>
      <status>modified</status>
      <modifiedWord>，在</modifiedWord>
      <trackRevisions>false</trackRevisions>
    </reviewItem>
    <reviewItem>
      <errorID>6f44923b-3be1-4f05-98a8-86f74f4189f2</errorID>
      <errorWord>，</errorWord>
      <group>L1_Word</group>
      <groupName>字词问题</groupName>
      <ability>L2_Typo</ability>
      <abilityName>字词错误</abilityName>
      <candidateList>
        <item>，在</item>
      </candidateList>
      <explain/>
      <paraID> 1B4B9EF</paraID>
      <start>31</start>
      <end>33</end>
      <status>modified</status>
      <modifiedWord>，在</modifiedWord>
      <trackRevisions>false</trackRevisions>
    </reviewItem>
    <reviewItem>
      <errorID>35cd7fb0-85cd-4c20-8fbe-d1787f70b0d8</errorID>
      <errorWord>密码法</errorWord>
      <group>L1_Knowledge</group>
      <groupName>知识性问题</groupName>
      <ability>L2_Knowledge</ability>
      <abilityName>其他知识</abilityName>
      <candidateList>
        <item>中华人民共和国密码法</item>
      </candidateList>
      <explain>当前法律法规名称使用简称，请注意是否应当使用全称。</explain>
      <paraID>3C7B0E7A</paraID>
      <start>6</start>
      <end>16</end>
      <status>modified</status>
      <modifiedWord>中华人民共和国密码法</modifiedWord>
      <trackRevisions>false</trackRevisions>
    </reviewItem>
    <reviewItem>
      <errorID>ce2cecf2-9bf8-41a5-be7d-dc0d045af086</errorID>
      <errorWord>少动</errorWord>
      <group>L1_Word</group>
      <groupName>字词问题</groupName>
      <ability>L2_Typo</ability>
      <abilityName>字词错误</abilityName>
      <candidateList>
        <item>互动</item>
      </candidateList>
      <explain/>
      <paraID>3C7B0E7A</paraID>
      <start>100</start>
      <end>102</end>
      <status>modified</status>
      <modifiedWord>互动</modifiedWord>
      <trackRevisions>false</trackRevisions>
    </reviewItem>
    <reviewItem>
      <errorID>a3d84a57-aeb1-4299-b04e-5e67129d286a</errorID>
      <errorWord>人员也</errorWord>
      <group>L1_Word</group>
      <groupName>字词问题</groupName>
      <ability>L2_Typo</ability>
      <abilityName>字词错误</abilityName>
      <candidateList>
        <item>人员</item>
      </candidateList>
      <explain>〈名〉担任某种职务的人：机关工作～｜值班～｜～配备。</explain>
      <paraID>4F213BDB</paraID>
      <start>123</start>
      <end>125</end>
      <status>modified</status>
      <modifiedWord>人员</modifiedWord>
      <trackRevisions>false</trackRevisions>
    </reviewItem>
    <reviewItem>
      <errorID>c92ea7bb-f448-473a-91fb-fc1288145786</errorID>
      <errorWord>建设有</errorWord>
      <group>L1_Word</group>
      <groupName>字词问题</groupName>
      <ability>L2_Typo</ability>
      <abilityName>字词错误</abilityName>
      <candidateList>
        <item>建设</item>
      </candidateList>
      <explain>〈动〉创立新事业；增加新设施：经济～｜～家园｜～现代化强国◇组织～｜思想～。</explain>
      <paraID>4F213BDB</paraID>
      <start>132</start>
      <end>134</end>
      <status>modified</status>
      <modifiedWord>建设</modifiedWord>
      <trackRevisions>false</trackRevisions>
    </reviewItem>
    <reviewItem>
      <errorID>1c6a9ec4-cc70-4893-b9bb-4dc507296ee0</errorID>
      <errorWord>信息系统中</errorWord>
      <group>L1_Word</group>
      <groupName>字词问题</groupName>
      <ability>L2_Typo</ability>
      <abilityName>字词错误</abilityName>
      <candidateList>
        <item>信息系统</item>
      </candidateList>
      <explain/>
      <paraID>3286880E</paraID>
      <start>11</start>
      <end>15</end>
      <status>modified</status>
      <modifiedWord>信息系统</modifiedWord>
      <trackRevisions>false</trackRevisions>
    </reviewItem>
    <reviewItem>
      <errorID>e779674c-64f5-4fc3-822c-957582b4b9a8</errorID>
      <errorWord>信息系统中</errorWord>
      <group>L1_Word</group>
      <groupName>字词问题</groupName>
      <ability>L2_Typo</ability>
      <abilityName>字词错误</abilityName>
      <candidateList>
        <item>信息系统</item>
      </candidateList>
      <explain/>
      <paraID>4879FAC5</paraID>
      <start>11</start>
      <end>15</end>
      <status>modified</status>
      <modifiedWord>信息系统</modifiedWord>
      <trackRevisions>false</trackRevisions>
    </reviewItem>
    <reviewItem>
      <errorID>6c6a9872-6817-4837-b0ea-c88a0ca204dd</errorID>
      <errorWord>；</errorWord>
      <group>L1_Word</group>
      <groupName>字词问题</groupName>
      <ability>L2_Typo</ability>
      <abilityName>字词错误</abilityName>
      <candidateList>
        <item>；在</item>
      </candidateList>
      <explain/>
      <paraID>298F87D1</paraID>
      <start>153</start>
      <end>155</end>
      <status>modified</status>
      <modifiedWord>；在</modifiedWord>
      <trackRevisions>false</trackRevisions>
    </reviewItem>
    <reviewItem>
      <errorID>86074bff-581e-4d18-9b09-0a77276f65b2</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285D9DF6</paraID>
      <start>0</start>
      <end>1</end>
      <status>modified</status>
      <modifiedWord>对</modifiedWord>
      <trackRevisions>false</trackRevisions>
    </reviewItem>
    <reviewItem>
      <errorID>a669fb74-5463-4943-964e-801e1aba11ee</errorID>
      <errorWord>集中地</errorWord>
      <group>L1_Word</group>
      <groupName>字词问题</groupName>
      <ability>L2_Typo</ability>
      <abilityName>字词错误</abilityName>
      <candidateList>
        <item>集中</item>
      </candidateList>
      <explain/>
      <paraID>16F4127A</paraID>
      <start>13</start>
      <end>15</end>
      <status>modified</status>
      <modifiedWord>集中</modifiedWord>
      <trackRevisions>false</trackRevisions>
    </reviewItem>
    <reviewItem>
      <errorID>021ff81e-bf86-4c82-935c-aece34f90377</errorID>
      <errorWord>目</errorWord>
      <group>L1_Word</group>
      <groupName>字词问题</groupName>
      <ability>L2_Typo</ability>
      <abilityName>字词错误</abilityName>
      <candidateList>
        <item>目全</item>
      </candidateList>
      <explain/>
      <paraID>309AB461</paraID>
      <start>11</start>
      <end>13</end>
      <status>modified</status>
      <modifiedWord>目全</modifiedWord>
      <trackRevisions>false</trackRevisions>
    </reviewItem>
    <reviewItem>
      <errorID>311b9d6e-0dff-4840-9880-9e57e0f93d45</errorID>
      <errorWord>，</errorWord>
      <group>L1_Word</group>
      <groupName>字词问题</groupName>
      <ability>L2_Typo</ability>
      <abilityName>字词错误</abilityName>
      <candidateList>
        <item>，对</item>
      </candidateList>
      <explain/>
      <paraID>309AB461</paraID>
      <start>113</start>
      <end>115</end>
      <status>modified</status>
      <modifiedWord>，对</modifiedWord>
      <trackRevisions>false</trackRevisions>
    </reviewItem>
    <reviewItem>
      <errorID>86f2a3a9-7491-4ffc-89ee-469d084e114d</errorID>
      <errorWord>理</errorWord>
      <group>L1_Word</group>
      <groupName>字词问题</groupName>
      <ability>L2_Typo</ability>
      <abilityName>字词错误</abilityName>
      <candidateList>
        <item>理和</item>
      </candidateList>
      <explain/>
      <paraID>2BAEAEA9</paraID>
      <start>99</start>
      <end>101</end>
      <status>modified</status>
      <modifiedWord>理和</modifiedWord>
      <trackRevisions>false</trackRevisions>
    </reviewItem>
    <reviewItem>
      <errorID>e1c1b8e7-e9ea-42af-bd25-f53726cc36da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676F4C87</paraID>
      <start>0</start>
      <end>2</end>
      <status>modified</status>
      <modifiedWord>1.</modifiedWord>
      <trackRevisions>false</trackRevisions>
    </reviewItem>
    <reviewItem>
      <errorID>41da90b4-a270-46b8-93a0-369d26155d90</errorID>
      <errorWord>服务是系统</errorWord>
      <group>L1_Knowledge</group>
      <groupName>知识性问题</groupName>
      <ability>L2_Term</ability>
      <abilityName>专业术语</abilityName>
      <candidateList>
        <item>服务器系统</item>
      </candidateList>
      <explain/>
      <paraID>78F96E1C</paraID>
      <start>4</start>
      <end>9</end>
      <status>modified</status>
      <modifiedWord>服务器系统</modifiedWord>
      <trackRevisions>false</trackRevisions>
    </reviewItem>
    <reviewItem>
      <errorID>9c4920e7-70f5-4add-85d5-84580f0c59b6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14021E56</paraID>
      <start>0</start>
      <end>2</end>
      <status>modified</status>
      <modifiedWord>2.</modifiedWord>
      <trackRevisions>false</trackRevisions>
    </reviewItem>
    <reviewItem>
      <errorID>7d55f24a-a869-4142-8e41-8d1df21ca5b7</errorID>
      <errorWord>-</errorWord>
      <group>L1_Format</group>
      <groupName>格式问题</groupName>
      <ability>L2_HalfPunc</ability>
      <abilityName>全半角检查</abilityName>
      <candidateList>
        <item>－</item>
      </candidateList>
      <explain>文本全半角错误。</explain>
      <paraID>6B5BA7C9</paraID>
      <start>1</start>
      <end>2</end>
      <status>modified</status>
      <modifiedWord>－</modifiedWord>
      <trackRevisions>false</trackRevisions>
    </reviewItem>
    <reviewItem>
      <errorID>e3a9a0b3-0dcd-4d78-8006-79a698c9a971</errorID>
      <errorWord>-</errorWord>
      <group>L1_Format</group>
      <groupName>格式问题</groupName>
      <ability>L2_HalfPunc</ability>
      <abilityName>全半角检查</abilityName>
      <candidateList>
        <item>－</item>
      </candidateList>
      <explain>文本全半角错误。</explain>
      <paraID>6B5BA7C9</paraID>
      <start>7</start>
      <end>8</end>
      <status>modified</status>
      <modifiedWord>－</modifiedWord>
      <trackRevisions>false</trackRevisions>
    </reviewItem>
    <reviewItem>
      <errorID>a337a6b7-09a6-4ea4-b248-afa8c8587e39</errorID>
      <errorWord>-</errorWord>
      <group>L1_Format</group>
      <groupName>格式问题</groupName>
      <ability>L2_HalfPunc</ability>
      <abilityName>全半角检查</abilityName>
      <candidateList>
        <item>－</item>
      </candidateList>
      <explain>文本全半角错误。</explain>
      <paraID>6B5BA7C9</paraID>
      <start>12</start>
      <end>13</end>
      <status>modified</status>
      <modifiedWord>－</modifiedWord>
      <trackRevisions>false</trackRevisions>
    </reviewItem>
    <reviewItem>
      <errorID>887decc2-c8e4-4415-9605-375ded5bbff9</errorID>
      <errorWord>-</errorWord>
      <group>L1_Format</group>
      <groupName>格式问题</groupName>
      <ability>L2_HalfPunc</ability>
      <abilityName>全半角检查</abilityName>
      <candidateList>
        <item>－</item>
      </candidateList>
      <explain>文本全半角错误。</explain>
      <paraID>6B5BA7C9</paraID>
      <start>17</start>
      <end>18</end>
      <status>modified</status>
      <modifiedWord>－</modifiedWord>
      <trackRevisions>false</trackRevisions>
    </reviewItem>
    <reviewItem>
      <errorID>51a3316c-0f37-40c9-a4b6-be45dffaaedf</errorID>
      <errorWord>根据对</errorWord>
      <group>L1_Word</group>
      <groupName>字词问题</groupName>
      <ability>L2_Typo</ability>
      <abilityName>字词错误</abilityName>
      <candidateList>
        <item>根据</item>
      </candidateList>
      <explain>❶〈介〉把某种事物作为结论的前提或语言行动的基础：～气象台的预报，明天要下雨｜～大家的意见，把计划修改一下。❷〈名〉作为根据的事物：说话要有～。❸〈动〉以某种事物为依据：财政支出必须～节约的原则。</explain>
      <paraID>15DAB8DA</paraID>
      <start>30</start>
      <end>32</end>
      <status>modified</status>
      <modifiedWord>根据</modifiedWord>
      <trackRevisions>false</trackRevisions>
    </reviewItem>
    <reviewItem>
      <errorID>afaa1e0a-4732-43ba-9af9-8064c7027a13</errorID>
      <errorWord>保证系统能</errorWord>
      <group>L1_Word</group>
      <groupName>字词问题</groupName>
      <ability>L2_Typo</ability>
      <abilityName>字词错误</abilityName>
      <candidateList>
        <item>保证系统</item>
      </candidateList>
      <explain/>
      <paraID>42590080</paraID>
      <start>77</start>
      <end>81</end>
      <status>modified</status>
      <modifiedWord>保证系统</modifiedWord>
      <trackRevisions>false</trackRevisions>
    </reviewItem>
    <reviewItem>
      <errorID>a9ed05b9-c2b5-4d84-a9e8-3d417eeb5356</errorID>
      <errorWord>是否是</errorWord>
      <group>L1_Word</group>
      <groupName>字词问题</groupName>
      <ability>L2_Typo</ability>
      <abilityName>字词错误</abilityName>
      <candidateList>
        <item>是不是</item>
      </candidateList>
      <explain/>
      <paraID>1182A89D</paraID>
      <start>20</start>
      <end>23</end>
      <status>modified</status>
      <modifiedWord>是不是</modifiedWord>
      <trackRevisions>false</trackRevisions>
    </reviewItem>
    <reviewItem>
      <errorID>8cf0a7f3-fa52-4879-8c3e-bafaf80c0d58</errorID>
      <errorWord>解决方案中</errorWord>
      <group>L1_Word</group>
      <groupName>字词问题</groupName>
      <ability>L2_Typo</ability>
      <abilityName>字词错误</abilityName>
      <candidateList>
        <item>解决方案</item>
      </candidateList>
      <explain/>
      <paraID>67BE5B4B</paraID>
      <start>11</start>
      <end>15</end>
      <status>modified</status>
      <modifiedWord>解决方案</modifiedWord>
      <trackRevisions>false</trackRevisions>
    </reviewItem>
    <reviewItem>
      <errorID>e86d90e4-b6a1-4bfd-aeae-c2f91d5fd700</errorID>
      <errorWord>：</errorWord>
      <group>L1_Format</group>
      <groupName>格式问题</groupName>
      <ability>L2_HalfPunc</ability>
      <abilityName>全半角检查</abilityName>
      <candidateList>
        <item>:</item>
      </candidateList>
      <explain>文本全半角错误。</explain>
      <paraID>3BDF965D</paraID>
      <start>12</start>
      <end>13</end>
      <status>modified</status>
      <modifiedWord>:</modifiedWord>
      <trackRevisions>false</trackRevisions>
    </reviewItem>
    <reviewItem>
      <errorID>8256195d-8d96-4e7c-acf7-263a75fa0882</errorID>
      <errorWord>客服服务</errorWord>
      <group>L1_Word</group>
      <groupName>字词问题</groupName>
      <ability>L2_Typo</ability>
      <abilityName>字词错误</abilityName>
      <candidateList>
        <item>客户服务</item>
      </candidateList>
      <explain>存在发音相近字词的误用。</explain>
      <paraID>66105A2F</paraID>
      <start>18</start>
      <end>22</end>
      <status>modified</status>
      <modifiedWord>客户服务</modifiedWord>
      <trackRevisions>false</trackRevisions>
    </reviewItem>
    <reviewItem>
      <errorID>9a4a5640-f8b6-48c6-912d-ee39359133f8</errorID>
      <errorWord>（</errorWord>
      <group>L1_Format</group>
      <groupName>格式问题</groupName>
      <ability>L2_HalfPunc</ability>
      <abilityName>全半角检查</abilityName>
      <candidateList>
        <item>(</item>
      </candidateList>
      <explain>文本全半角错误。</explain>
      <paraID>3A7A9518</paraID>
      <start>0</start>
      <end>1</end>
      <status>modified</status>
      <modifiedWord>(</modifiedWord>
      <trackRevisions>false</trackRevisions>
    </reviewItem>
    <reviewItem>
      <errorID>d75ca77a-67b8-4a93-9f48-48482fb15c17</errorID>
      <errorWord>（</errorWord>
      <group>L1_Format</group>
      <groupName>格式问题</groupName>
      <ability>L2_HalfPunc</ability>
      <abilityName>全半角检查</abilityName>
      <candidateList>
        <item>(</item>
      </candidateList>
      <explain>文本全半角错误。</explain>
      <paraID>26BD9C55</paraID>
      <start>0</start>
      <end>1</end>
      <status>modified</status>
      <modifiedWord>(</modifiedWord>
      <trackRevisions>false</trackRevisions>
    </reviewItem>
    <reviewItem>
      <errorID>65b9bdcd-6019-4d90-ad29-8ce8e8dc1ae5</errorID>
      <errorWord>）</errorWord>
      <group>L1_Format</group>
      <groupName>格式问题</groupName>
      <ability>L2_HalfPunc</ability>
      <abilityName>全半角检查</abilityName>
      <candidateList>
        <item>)</item>
      </candidateList>
      <explain>文本全半角错误。</explain>
      <paraID>26BD9C55</paraID>
      <start>22</start>
      <end>23</end>
      <status>modified</status>
      <modifiedWord>)</modifiedWord>
      <trackRevisions>false</trackRevisions>
    </reviewItem>
    <reviewItem>
      <errorID>0a212fbd-862e-4771-bf17-a100a07a5b08</errorID>
      <errorWord>（</errorWord>
      <group>L1_Format</group>
      <groupName>格式问题</groupName>
      <ability>L2_HalfPunc</ability>
      <abilityName>全半角检查</abilityName>
      <candidateList>
        <item>(</item>
      </candidateList>
      <explain>文本全半角错误。</explain>
      <paraID>46986B77</paraID>
      <start>0</start>
      <end>1</end>
      <status>modified</status>
      <modifiedWord>(</modifiedWord>
      <trackRevisions>false</trackRevisions>
    </reviewItem>
    <reviewItem>
      <errorID>5473c7f3-c5af-4f58-81c4-0758023a087f</errorID>
      <errorWord>）</errorWord>
      <group>L1_Format</group>
      <groupName>格式问题</groupName>
      <ability>L2_HalfPunc</ability>
      <abilityName>全半角检查</abilityName>
      <candidateList>
        <item>)</item>
      </candidateList>
      <explain>文本全半角错误。</explain>
      <paraID>46986B77</paraID>
      <start>12</start>
      <end>13</end>
      <status>modified</status>
      <modifiedWord>)</modifiedWord>
      <trackRevisions>false</trackRevisions>
    </reviewItem>
    <reviewItem>
      <errorID>b136554c-d06d-4e9f-9d5c-dfd0520b5ea5</errorID>
      <errorWord>（</errorWord>
      <group>L1_Format</group>
      <groupName>格式问题</groupName>
      <ability>L2_HalfPunc</ability>
      <abilityName>全半角检查</abilityName>
      <candidateList>
        <item>(</item>
      </candidateList>
      <explain>文本全半角错误。</explain>
      <paraID>21130906</paraID>
      <start>0</start>
      <end>1</end>
      <status>modified</status>
      <modifiedWord>(</modifiedWord>
      <trackRevisions>false</trackRevisions>
    </reviewItem>
    <reviewItem>
      <errorID>37f7d9fb-e63e-4fbb-bf29-a340dc433cc6</errorID>
      <errorWord>）</errorWord>
      <group>L1_Format</group>
      <groupName>格式问题</groupName>
      <ability>L2_HalfPunc</ability>
      <abilityName>全半角检查</abilityName>
      <candidateList>
        <item>)</item>
      </candidateList>
      <explain>文本全半角错误。</explain>
      <paraID>21130906</paraID>
      <start>12</start>
      <end>13</end>
      <status>modified</status>
      <modifiedWord>)</modifiedWord>
      <trackRevisions>false</trackRevisions>
    </reviewItem>
    <reviewItem>
      <errorID>6116e13f-769d-46e6-936a-4fd613f2ee23</errorID>
      <errorWord>)</errorWord>
      <group>L1_Format</group>
      <groupName>格式问题</groupName>
      <ability>L2_HalfPunc</ability>
      <abilityName>全半角检查</abilityName>
      <candidateList>
        <item>）</item>
      </candidateList>
      <explain>文本全半角错误。</explain>
      <paraID>36417A3F</paraID>
      <start>30</start>
      <end>31</end>
      <status>modified</status>
      <modifiedWord>）</modifiedWord>
      <trackRevisions>false</trackRevisions>
    </reviewItem>
    <reviewItem>
      <errorID>b96e4081-80c4-4dfd-b8a4-488dccfd921d</errorID>
      <errorWord>)</errorWord>
      <group>L1_Format</group>
      <groupName>格式问题</groupName>
      <ability>L2_HalfPunc</ability>
      <abilityName>全半角检查</abilityName>
      <candidateList>
        <item>）</item>
      </candidateList>
      <explain>文本全半角错误。</explain>
      <paraID> 8FB928A</paraID>
      <start>24</start>
      <end>25</end>
      <status>modified</status>
      <modifiedWord>）</modifiedWord>
      <trackRevisions>false</trackRevisions>
    </reviewItem>
    <reviewItem>
      <errorID>5f874178-b35a-43f9-b7f7-b3785ae1d1b9</errorID>
      <errorWord>0）、</errorWord>
      <group>L1_Punc</group>
      <groupName>标点问题</groupName>
      <ability>L2_Punc</ability>
      <abilityName>标点符号检查</abilityName>
      <candidateList>
        <item>0）</item>
      </candidateList>
      <explain>根据国标GB/T 15834-2011《标点符号用法》中的4.5.3.3节，带括号的汉字数字或阿拉伯数字表次序时，后面通常不加顿号。如“（一）指导思想”“（二）行动指南”。</explain>
      <paraID>3A4BFFA8</paraID>
      <start>20</start>
      <end>22</end>
      <status>modified</status>
      <modifiedWord>0）</modifiedWord>
      <trackRevisions>false</trackRevisions>
    </reviewItem>
    <reviewItem>
      <errorID>3a7b07f7-974c-4508-84f0-62513dc4fceb</errorID>
      <errorWord>其它</errorWord>
      <group>L1_Word</group>
      <groupName>字词问题</groupName>
      <ability>L2_Alias</ability>
      <abilityName>也作/曾用词</abilityName>
      <candidateList>
        <item>其他</item>
      </candidateList>
      <explain>词汇[其它]为不规范表述或旧称，其规范书面表述为[其他]。</explain>
      <paraID>7274B534</paraID>
      <start>66</start>
      <end>68</end>
      <status>modified</status>
      <modifiedWord>其他</modifiedWord>
      <trackRevisions>false</trackRevisions>
    </reviewItem>
    <reviewItem>
      <errorID>4ffe8bdf-dff4-4834-8c3d-21cc07266c79</errorID>
      <errorWord>釆</errorWord>
      <group>L1_Word</group>
      <groupName>字词问题</groupName>
      <ability>L2_Typo</ability>
      <abilityName>字词错误</abilityName>
      <candidateList>
        <item>采</item>
      </candidateList>
      <explain/>
      <paraID>3F3DA290</paraID>
      <start>92</start>
      <end>93</end>
      <status>modified</status>
      <modifiedWord>采</modifiedWord>
      <trackRevisions>false</trackRevisions>
    </reviewItem>
    <reviewItem>
      <errorID>b8ae87c7-b613-4651-8ab0-6f34e67de657</errorID>
      <errorWord>监察部</errorWord>
      <group>L1_Knowledge</group>
      <groupName>知识性问题</groupName>
      <ability>L2_Organization</ability>
      <abilityName>机构检查</abilityName>
      <candidateList>
        <item>国家监察委员会</item>
      </candidateList>
      <explain>2018年3月，中共中央印发了《深化党和国家机构改革方案》，将监察部的职责整合到新组建的国家监察委员会。不再保留监察部。</explain>
      <paraID>7EEACBC7</paraID>
      <start>108</start>
      <end>115</end>
      <status>modified</status>
      <modifiedWord>国家监察委员会</modifiedWord>
      <trackRevisions>false</trackRevisions>
    </reviewItem>
    <reviewItem>
      <errorID>9d3bde78-1056-465f-ace7-2dff9ac699c6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79C10B17</paraID>
      <start>34</start>
      <end>36</end>
      <status>modified</status>
      <modifiedWord>》《</modifiedWord>
      <trackRevisions>false</trackRevisions>
    </reviewItem>
    <reviewItem>
      <errorID>a77e45ef-a76f-4ae6-8ff2-ff6ddf8a0926</errorID>
      <errorWord>湖南省实施＜中华人民共和国招标投标法办法＞</errorWord>
      <group>L1_Knowledge</group>
      <groupName>知识性问题</groupName>
      <ability>L2_Knowledge</ability>
      <abilityName>其他知识</abilityName>
      <candidateList/>
      <explain>当前法律法规未收录或尚未生效，注意核查是否正确。</explain>
      <paraID>79C10B17</paraID>
      <start>55</start>
      <end>76</end>
      <status>ignored</status>
      <modifiedWord/>
      <trackRevisions>false</trackRevisions>
    </reviewItem>
    <reviewItem>
      <errorID>7264286d-77f4-4d46-9e75-9522e9b7667a</errorID>
      <errorWord>，</errorWord>
      <group>L1_Word</group>
      <groupName>字词问题</groupName>
      <ability>L2_Typo</ability>
      <abilityName>字词错误</abilityName>
      <candidateList>
        <item>，将</item>
      </candidateList>
      <explain/>
      <paraID>155F49B5</paraID>
      <start>239</start>
      <end>241</end>
      <status>modified</status>
      <modifiedWord>，将</modifiedWord>
      <trackRevisions>false</trackRevisions>
    </reviewItem>
    <reviewItem>
      <errorID>5c3b5a1e-43da-4784-aaf7-f7b460863c2f</errorID>
      <errorWord>可能</errorWord>
      <group>L1_Word</group>
      <groupName>字词问题</groupName>
      <ability>L2_Typo</ability>
      <abilityName>字词错误</abilityName>
      <candidateList>
        <item>能</item>
      </candidateList>
      <explain/>
      <paraID>11162E9B</paraID>
      <start>33</start>
      <end>34</end>
      <status>modified</status>
      <modifiedWord>能</modifiedWord>
      <trackRevisions>false</trackRevisions>
    </reviewItem>
    <reviewItem>
      <errorID>c05fac19-6d3b-4871-a78c-09871256e8c4</errorID>
      <errorWord>提高</errorWord>
      <group>L1_Word</group>
      <groupName>字词问题</groupName>
      <ability>L2_Typo</ability>
      <abilityName>字词错误</abilityName>
      <candidateList>
        <item>增强</item>
      </candidateList>
      <explain>“提高～意识”搭配不当，建议修改为“增强～意识”。</explain>
      <paraID>495DCFCC</paraID>
      <start>3</start>
      <end>5</end>
      <status>modified</status>
      <modifiedWord>增强</modifiedWord>
      <trackRevisions>false</trackRevisions>
    </reviewItem>
    <reviewItem>
      <errorID>449db243-d35e-4649-bd9f-7f82edc80eb3</errorID>
      <errorWord>提高</errorWord>
      <group>L1_Word</group>
      <groupName>字词问题</groupName>
      <ability>L2_Typo</ability>
      <abilityName>字词错误</abilityName>
      <candidateList>
        <item>增强</item>
      </candidateList>
      <explain>“提高～意识”搭配不当，建议修改为“增强～意识”。</explain>
      <paraID>65453FD5</paraID>
      <start>10</start>
      <end>12</end>
      <status>modified</status>
      <modifiedWord>增强</modifiedWord>
      <trackRevisions>false</trackRevisions>
    </reviewItem>
    <reviewItem>
      <errorID>13d9fc75-f182-4aeb-9a9d-98d279c95309</errorID>
      <errorWord>50%-70%</errorWord>
      <group>L1_Knowledge</group>
      <groupName>知识性问题</groupName>
      <ability>L2_Knowledge</ability>
      <abilityName>其他知识</abilityName>
      <candidateList>
        <item>50%—70%</item>
      </candidateList>
      <explain>1. “50%-70%”中的单位“%”仅出现在后一个数字上，容易引起歧义；根据《现代汉语标点符号数字用法规范手册》，数字表示范围两边需要使用统一的格式。2. 根据标点国标 4.13 中的规则，数字、时间或地域连接符应使用（视觉上更长的）“—”或“～”。</explain>
      <paraID>7B64CEA7</paraID>
      <start>139</start>
      <end>146</end>
      <status>modified</status>
      <modifiedWord>50%—70%</modifiedWord>
      <trackRevisions>false</trackRevisions>
    </reviewItem>
    <reviewItem>
      <errorID>d2a4faef-98f0-46a9-bc6c-5e3b152ef8c9</errorID>
      <errorWord>25万-35万</errorWord>
      <group>L1_Knowledge</group>
      <groupName>知识性问题</groupName>
      <ability>L2_Knowledge</ability>
      <abilityName>其他知识</abilityName>
      <candidateList>
        <item>25万—35万</item>
      </candidateList>
      <explain>1. “25万-35万”中的单位“万”仅出现在后一个数字上，容易引起歧义；根据《现代汉语标点符号数字用法规范手册》，数字表示范围两边需要使用统一的格式。2. 根据标点国标 4.13 中的规则，数字、时间或地域连接符应使用（视觉上更长的）“—”或“～”。</explain>
      <paraID>7B64CEA7</paraID>
      <start>159</start>
      <end>166</end>
      <status>modified</status>
      <modifiedWord>25万—35万</modifiedWord>
      <trackRevisions>false</trackRevisions>
    </reviewItem>
    <reviewItem>
      <errorID>6e03d472-b9f5-4f97-a767-70c4f226db37</errorID>
      <errorWord>2亿-2.8亿</errorWord>
      <group>L1_Knowledge</group>
      <groupName>知识性问题</groupName>
      <ability>L2_Knowledge</ability>
      <abilityName>其他知识</abilityName>
      <candidateList>
        <item>2亿—2.8亿</item>
      </candidateList>
      <explain>1. “2亿-2.8亿”中的单位“亿”仅出现在后一个数字上，容易引起歧义；根据《现代汉语标点符号数字用法规范手册》，数字表示范围两边需要使用统一的格式。2. 根据标点国标 4.13 中的规则，数字、时间或地域连接符应使用（视觉上更长的）“—”或“～”。</explain>
      <paraID>7B64CEA7</paraID>
      <start>194</start>
      <end>201</end>
      <status>modified</status>
      <modifiedWord>2亿—2.8亿</modifiedWord>
      <trackRevisions>false</trackRevisions>
    </reviewItem>
    <reviewItem>
      <errorID>355f8650-af75-4de1-af4e-da5dae109a68</errorID>
      <errorWord>（</errorWord>
      <group>L1_Word</group>
      <groupName>字词问题</groupName>
      <ability>L2_Typo</ability>
      <abilityName>字词错误</abilityName>
      <candidateList>
        <item>（以</item>
      </candidateList>
      <explain/>
      <paraID>2C48C93B</paraID>
      <start>66</start>
      <end>68</end>
      <status>modified</status>
      <modifiedWord>（以</modifiedWord>
      <trackRevisions>false</trackRevisions>
    </reviewItem>
    <reviewItem>
      <errorID>9b787590-fe58-4fb2-aea2-7bcf2260cc64</errorID>
      <errorWord>10%-15%</errorWord>
      <group>L1_Knowledge</group>
      <groupName>知识性问题</groupName>
      <ability>L2_Knowledge</ability>
      <abilityName>其他知识</abilityName>
      <candidateList>
        <item>10%—15%</item>
      </candidateList>
      <explain>1. “10%-15%”中的单位“%”仅出现在后一个数字上，容易引起歧义；根据《现代汉语标点符号数字用法规范手册》，数字表示范围两边需要使用统一的格式。2. 根据标点国标 4.13 中的规则，数字、时间或地域连接符应使用（视觉上更长的）“—”或“～”。</explain>
      <paraID>303AEB7D</paraID>
      <start>55</start>
      <end>62</end>
      <status>modified</status>
      <modifiedWord>10%—15%</modifiedWord>
      <trackRevisions>false</trackRevisions>
    </reviewItem>
    <reviewItem>
      <errorID>7310d2c8-f234-4e77-871a-8418c4b6c5af</errorID>
      <errorWord>20%-30%</errorWord>
      <group>L1_Knowledge</group>
      <groupName>知识性问题</groupName>
      <ability>L2_Knowledge</ability>
      <abilityName>其他知识</abilityName>
      <candidateList>
        <item>20%—30%</item>
      </candidateList>
      <explain>1. “20%-30%”中的单位“%”仅出现在后一个数字上，容易引起歧义；根据《现代汉语标点符号数字用法规范手册》，数字表示范围两边需要使用统一的格式。2. 根据标点国标 4.13 中的规则，数字、时间或地域连接符应使用（视觉上更长的）“—”或“～”。</explain>
      <paraID>36B609A9</paraID>
      <start>52</start>
      <end>59</end>
      <status>modified</status>
      <modifiedWord>20%—30%</modifiedWord>
      <trackRevisions>false</trackRevisions>
    </reviewItem>
    <reviewItem>
      <errorID>4a55d092-712c-4a0d-9ba7-33ae5cec6966</errorID>
      <errorWord>来自于</errorWord>
      <group>L1_Word</group>
      <groupName>字词问题</groupName>
      <ability>L2_Typo</ability>
      <abilityName>字词错误</abilityName>
      <candidateList>
        <item>来自</item>
      </candidateList>
      <explain/>
      <paraID>4B2396E1</paraID>
      <start>9</start>
      <end>11</end>
      <status>modified</status>
      <modifiedWord>来自</modifiedWord>
      <trackRevisions>false</trackRevisions>
    </reviewItem>
    <reviewItem>
      <errorID>7744c770-cc68-498f-970e-09e6229433c9</errorID>
      <errorWord>干系人</errorWord>
      <group>L1_Word</group>
      <groupName>字词问题</groupName>
      <ability>L2_Typo</ability>
      <abilityName>字词错误</abilityName>
      <candidateList>
        <item>关系人</item>
      </candidateList>
      <explain/>
      <paraID>1961C490</paraID>
      <start>20</start>
      <end>23</end>
      <status>modified</status>
      <modifiedWord>关系人</modifiedWord>
      <trackRevisions>false</trackRevisions>
    </reviewItem>
    <reviewItem>
      <errorID>ef73d5cf-d750-4c31-9575-ab68ebe181f0</errorID>
      <errorWord>、等</errorWord>
      <group>L1_Punc</group>
      <groupName>标点问题</groupName>
      <ability>L2_Punc</ability>
      <abilityName>标点符号检查</abilityName>
      <candidateList>
        <item>等</item>
      </candidateList>
      <explain>“及”“和”“等”连词前不宜使用顿号，建议删除（或使用逗号）。</explain>
      <paraID>27B6F8DF</paraID>
      <start>106</start>
      <end>107</end>
      <status>modified</status>
      <modifiedWord>等</modifiedWord>
      <trackRevisions>false</trackRevisions>
    </reviewItem>
    <reviewItem>
      <errorID>153fe308-7e35-495b-b5a4-c30597aec28b</errorID>
      <errorWord>费</errorWord>
      <group>L1_Word</group>
      <groupName>字词问题</groupName>
      <ability>L2_Typo</ability>
      <abilityName>字词错误</abilityName>
      <candidateList>
        <item>费用</item>
      </candidateList>
      <explain/>
      <paraID>2A36AB97</paraID>
      <start>8</start>
      <end>10</end>
      <status>modified</status>
      <modifiedWord>费用</modifiedWord>
      <trackRevisions>false</trackRevisions>
    </reviewItem>
    <reviewItem>
      <errorID>bb6c05b8-80d6-4e6d-afbc-fab8fdacf4aa</errorID>
      <errorWord>总工程建设</errorWord>
      <group>L1_Word</group>
      <groupName>字词问题</groupName>
      <ability>L2_Typo</ability>
      <abilityName>字词错误</abilityName>
      <candidateList>
        <item>中工程建设</item>
      </candidateList>
      <explain/>
      <paraID>5F763B05</paraID>
      <start>27</start>
      <end>32</end>
      <status>modified</status>
      <modifiedWord>中工程建设</modifiedWord>
      <trackRevisions>false</trackRevisions>
    </reviewItem>
    <reviewItem>
      <errorID>7e9198c0-4041-498b-bb35-9264cef3a160</errorID>
      <errorWord>费</errorWord>
      <group>L1_Word</group>
      <groupName>字词问题</groupName>
      <ability>L2_Typo</ability>
      <abilityName>字词错误</abilityName>
      <candidateList>
        <item>费用</item>
      </candidateList>
      <explain/>
      <paraID>5F763B05</paraID>
      <start>34</start>
      <end>36</end>
      <status>modified</status>
      <modifiedWord>费用</modifiedWord>
      <trackRevisions>false</trackRevisions>
    </reviewItem>
    <reviewItem>
      <errorID>f7643b5b-6980-415b-ab40-98a404d68c63</errorID>
      <errorWord>总工程建设</errorWord>
      <group>L1_Word</group>
      <groupName>字词问题</groupName>
      <ability>L2_Typo</ability>
      <abilityName>字词错误</abilityName>
      <candidateList>
        <item>中工程建设</item>
      </candidateList>
      <explain/>
      <paraID> 27D5E62</paraID>
      <start>27</start>
      <end>32</end>
      <status>modified</status>
      <modifiedWord>中工程建设</modifiedWord>
      <trackRevisions>false</trackRevisions>
    </reviewItem>
    <reviewItem>
      <errorID>6a0bfff7-67d2-41ae-b273-a5b567eea33e</errorID>
      <errorWord>其他费计</errorWord>
      <group>L1_Word</group>
      <groupName>字词问题</groupName>
      <ability>L2_Typo</ability>
      <abilityName>字词错误</abilityName>
      <candidateList>
        <item>其他费用</item>
      </candidateList>
      <explain/>
      <paraID> 27D5E62</paraID>
      <start>32</start>
      <end>36</end>
      <status>modified</status>
      <modifiedWord>其他费用</modifiedWord>
      <trackRevisions>false</trackRevisions>
    </reviewItem>
    <reviewItem>
      <errorID>a4639666-3707-412c-9c55-d75e1cc70d11</errorID>
      <errorWord>。</errorWord>
      <group>L1_Punc</group>
      <groupName>标点问题</groupName>
      <ability>L2_Punc</ability>
      <abilityName>标点符号检查</abilityName>
      <candidateList/>
      <explain/>
      <paraID>17D320C5</paraID>
      <start>0</start>
      <end>1</end>
      <status>ignored</status>
      <modifiedWord/>
      <trackRevisions>false</trackRevisions>
    </reviewItem>
    <reviewItem>
      <errorID>6a62d9bb-8337-46a3-ba69-8c158523f665</errorID>
      <errorWord>总工</errorWord>
      <group>L1_Word</group>
      <groupName>字词问题</groupName>
      <ability>L2_Typo</ability>
      <abilityName>字词错误</abilityName>
      <candidateList>
        <item>中工</item>
      </candidateList>
      <explain/>
      <paraID>325F6D4F</paraID>
      <start>27</start>
      <end>29</end>
      <status>modified</status>
      <modifiedWord>中工</modifiedWord>
      <trackRevisions>false</trackRevisions>
    </reviewItem>
    <reviewItem>
      <errorID>90b6fd17-c270-4e75-a982-894d4585403f</errorID>
      <errorWord>费</errorWord>
      <group>L1_Word</group>
      <groupName>字词问题</groupName>
      <ability>L2_Typo</ability>
      <abilityName>字词错误</abilityName>
      <candidateList>
        <item>费用</item>
      </candidateList>
      <explain/>
      <paraID>325F6D4F</paraID>
      <start>34</start>
      <end>36</end>
      <status>modified</status>
      <modifiedWord>费用</modifiedWord>
      <trackRevisions>false</trackRevisions>
    </reviewItem>
    <reviewItem>
      <errorID>f9717b19-dc22-44f7-9d23-0816e11e6150</errorID>
      <errorWord>)</errorWord>
      <group>L1_Format</group>
      <groupName>格式问题</groupName>
      <ability>L2_HalfPunc</ability>
      <abilityName>全半角检查</abilityName>
      <candidateList>
        <item>）</item>
      </candidateList>
      <explain>文本全半角错误。</explain>
      <paraID>1F74946B</paraID>
      <start>12</start>
      <end>13</end>
      <status>modified</status>
      <modifiedWord>）</modifiedWord>
      <trackRevisions>false</trackRevisions>
    </reviewItem>
    <reviewItem>
      <errorID>98946c5e-2e91-4f9b-ac00-e38b08a2bbc4</errorID>
      <errorWord>商风险</errorWord>
      <group>L1_Word</group>
      <groupName>字词问题</groupName>
      <ability>L2_Typo</ability>
      <abilityName>字词错误</abilityName>
      <candidateList>
        <item>高风险</item>
      </candidateList>
      <explain/>
      <paraID>4F9BC69C</paraID>
      <start>12</start>
      <end>15</end>
      <status>modified</status>
      <modifiedWord>高风险</modifiedWord>
      <trackRevisions>false</trackRevisions>
    </reviewItem>
    <reviewItem>
      <errorID>155bca05-8939-45af-928a-13ef0f76fa70</errorID>
      <errorWord>费</errorWord>
      <group>L1_Word</group>
      <groupName>字词问题</groupName>
      <ability>L2_Typo</ability>
      <abilityName>字词错误</abilityName>
      <candidateList>
        <item>费用</item>
      </candidateList>
      <explain/>
      <paraID>4F9BC69C</paraID>
      <start>34</start>
      <end>36</end>
      <status>modified</status>
      <modifiedWord>费用</modifiedWord>
      <trackRevisions>false</trackRevisions>
    </reviewItem>
    <reviewItem>
      <errorID>48a4b816-3c84-4fc5-a0f8-3d9eca4f717c</errorID>
      <errorWord>商风险</errorWord>
      <group>L1_Word</group>
      <groupName>字词问题</groupName>
      <ability>L2_Typo</ability>
      <abilityName>字词错误</abilityName>
      <candidateList>
        <item>高风险</item>
      </candidateList>
      <explain/>
      <paraID>1C939F1F</paraID>
      <start>12</start>
      <end>15</end>
      <status>modified</status>
      <modifiedWord>高风险</modifiedWord>
      <trackRevisions>false</trackRevisions>
    </reviewItem>
    <reviewItem>
      <errorID>8aefc89c-39d1-446d-b509-d74290e10278</errorID>
      <errorWord>费</errorWord>
      <group>L1_Word</group>
      <groupName>字词问题</groupName>
      <ability>L2_Typo</ability>
      <abilityName>字词错误</abilityName>
      <candidateList>
        <item>费用</item>
      </candidateList>
      <explain/>
      <paraID>1C939F1F</paraID>
      <start>34</start>
      <end>36</end>
      <status>modified</status>
      <modifiedWord>费用</modifiedWord>
      <trackRevisions>false</trackRevisions>
    </reviewItem>
    <reviewItem>
      <errorID>869f2e0f-31ca-4783-9bab-8fb18ce0d0b4</errorID>
      <errorWord>商风险</errorWord>
      <group>L1_Word</group>
      <groupName>字词问题</groupName>
      <ability>L2_Typo</ability>
      <abilityName>字词错误</abilityName>
      <candidateList>
        <item>高风险</item>
      </candidateList>
      <explain/>
      <paraID>571BDDB9</paraID>
      <start>12</start>
      <end>15</end>
      <status>modified</status>
      <modifiedWord>高风险</modifiedWord>
      <trackRevisions>false</trackRevisions>
    </reviewItem>
    <reviewItem>
      <errorID>33d3119c-0914-47b1-b8a3-993a6ca38554</errorID>
      <errorWord>分辨率分辨率</errorWord>
      <group>L1_Word</group>
      <groupName>字词问题</groupName>
      <ability>L2_Typo</ability>
      <abilityName>字词错误</abilityName>
      <candidateList>
        <item>分辨率</item>
      </candidateList>
      <explain/>
      <paraID>287848E5</paraID>
      <start>541</start>
      <end>544</end>
      <status>modified</status>
      <modifiedWord>分辨率</modifiedWord>
      <trackRevisions>false</trackRevisions>
    </reviewItem>
    <reviewItem>
      <errorID>2eff4be4-7666-4bc5-a17e-abe80abe663c</errorID>
      <errorWord>II型</errorWord>
      <group>L1_Knowledge</group>
      <groupName>知识性问题</groupName>
      <ability>L2_Knowledge</ability>
      <abilityName>其他知识</abilityName>
      <candidateList>
        <item>Ⅱ型</item>
      </candidateList>
      <explain/>
      <paraID>7E5159AE</paraID>
      <start>4</start>
      <end>6</end>
      <status>modified</status>
      <modifiedWord>Ⅱ型</modifiedWord>
      <trackRevisions>false</trackRevisions>
    </reviewItem>
    <reviewItem>
      <errorID>9cbd183d-a03a-4b2f-a670-04e21a058942</errorID>
      <errorWord>海拔高度</errorWord>
      <group>L1_Word</group>
      <groupName>字词问题</groupName>
      <ability>L2_Typo</ability>
      <abilityName>字词错误</abilityName>
      <candidateList>
        <item>海拔</item>
      </candidateList>
      <explain>〈名〉从平均海平面起算的高度。</explain>
      <paraID>2633DB0A</paraID>
      <start>265</start>
      <end>267</end>
      <status>modified</status>
      <modifiedWord>海拔</modifiedWord>
      <trackRevisions>false</trackRevisions>
    </reviewItem>
    <reviewItem>
      <errorID>34226737-0e35-49e2-a9e2-4d5381e8335c</errorID>
      <errorWord>海拔高度</errorWord>
      <group>L1_Word</group>
      <groupName>字词问题</groupName>
      <ability>L2_Typo</ability>
      <abilityName>字词错误</abilityName>
      <candidateList>
        <item>海拔</item>
      </candidateList>
      <explain>〈名〉从平均海平面起算的高度。</explain>
      <paraID>1EBBDA00</paraID>
      <start>49</start>
      <end>51</end>
      <status>modified</status>
      <modifiedWord>海拔</modifiedWord>
      <trackRevisions>false</trackRevisions>
    </reviewItem>
    <reviewItem>
      <errorID>24e7f9e7-c80b-4d5b-a5b8-9e0cf27b3f8c</errorID>
      <errorWord>海拔高度</errorWord>
      <group>L1_Word</group>
      <groupName>字词问题</groupName>
      <ability>L2_Typo</ability>
      <abilityName>字词错误</abilityName>
      <candidateList>
        <item>海拔</item>
      </candidateList>
      <explain>〈名〉从平均海平面起算的高度。</explain>
      <paraID>1EBBDA00</paraID>
      <start>489</start>
      <end>491</end>
      <status>modified</status>
      <modifiedWord>海拔</modifiedWord>
      <trackRevisions>false</trackRevisions>
    </reviewItem>
    <reviewItem>
      <errorID>ab8ab01e-56b3-47ef-8ad8-c1eded26f3ae</errorID>
      <errorWord>海拔高度</errorWord>
      <group>L1_Word</group>
      <groupName>字词问题</groupName>
      <ability>L2_Typo</ability>
      <abilityName>字词错误</abilityName>
      <candidateList>
        <item>海拔</item>
      </candidateList>
      <explain>〈名〉从平均海平面起算的高度。</explain>
      <paraID>2FDB6D88</paraID>
      <start>36</start>
      <end>38</end>
      <status>modified</status>
      <modifiedWord>海拔</modifiedWord>
      <trackRevisions>false</trackRevisions>
    </reviewItem>
    <reviewItem>
      <errorID>838eddec-76ae-4097-875f-2a6f2ac8eb0f</errorID>
      <errorWord>由</errorWord>
      <group>L1_Word</group>
      <groupName>字词问题</groupName>
      <ability>L2_Typo</ability>
      <abilityName>字词错误</abilityName>
      <candidateList>
        <item>右</item>
      </candidateList>
      <explain/>
      <paraID>2FDB6D88</paraID>
      <start>282</start>
      <end>283</end>
      <status>modified</status>
      <modifiedWord>右</modifiedWord>
      <trackRevisions>false</trackRevisions>
    </reviewItem>
    <reviewItem>
      <errorID>b1df7daf-ed69-465a-8915-fb9c54766067</errorID>
      <errorWord>海拔高度</errorWord>
      <group>L1_Word</group>
      <groupName>字词问题</groupName>
      <ability>L2_Typo</ability>
      <abilityName>字词错误</abilityName>
      <candidateList>
        <item>海拔</item>
      </candidateList>
      <explain>〈名〉从平均海平面起算的高度。</explain>
      <paraID>62AD9203</paraID>
      <start>235</start>
      <end>237</end>
      <status>modified</status>
      <modifiedWord>海拔</modifiedWord>
      <trackRevisions>false</trackRevisions>
    </reviewItem>
    <reviewItem>
      <errorID>f32124b1-5a1b-4de5-9699-c247332d3570</errorID>
      <errorWord>能</errorWord>
      <group>L1_Word</group>
      <groupName>字词问题</groupName>
      <ability>L2_Typo</ability>
      <abilityName>字词错误</abilityName>
      <candidateList>
        <item>能通</item>
      </candidateList>
      <explain/>
      <paraID>62AD9203</paraID>
      <start>624</start>
      <end>626</end>
      <status>modified</status>
      <modifiedWord>能通</modifiedWord>
      <trackRevisions>false</trackRevisions>
    </reviewItem>
    <reviewItem>
      <errorID>ca7a6390-8a06-4a69-a3a7-e68624bd576e</errorID>
      <errorWord>)</errorWord>
      <group>L1_Format</group>
      <groupName>格式问题</groupName>
      <ability>L2_HalfPunc</ability>
      <abilityName>全半角检查</abilityName>
      <candidateList>
        <item>）</item>
      </candidateList>
      <explain>文本全半角错误。</explain>
      <paraID> DEDF908</paraID>
      <start>42</start>
      <end>43</end>
      <status>modified</status>
      <modifiedWord>）</modifiedWord>
      <trackRevisions>false</trackRevisions>
    </reviewItem>
    <reviewItem>
      <errorID>5345e4d9-608a-4316-8795-6baa6b7837ce</errorID>
      <errorWord>II型</errorWord>
      <group>L1_Knowledge</group>
      <groupName>知识性问题</groupName>
      <ability>L2_Knowledge</ability>
      <abilityName>其他知识</abilityName>
      <candidateList>
        <item>Ⅱ型</item>
      </candidateList>
      <explain/>
      <paraID>530577C7</paraID>
      <start>8</start>
      <end>10</end>
      <status>modified</status>
      <modifiedWord>Ⅱ型</modifiedWord>
      <trackRevisions>false</trackRevisions>
    </reviewItem>
    <reviewItem>
      <errorID>37ddfd3e-c334-4726-b3a1-ccb51bd5d87c</errorID>
      <errorWord>)</errorWord>
      <group>L1_Format</group>
      <groupName>格式问题</groupName>
      <ability>L2_HalfPunc</ability>
      <abilityName>全半角检查</abilityName>
      <candidateList>
        <item>）</item>
      </candidateList>
      <explain>文本全半角错误。</explain>
      <paraID>6BD46EC0</paraID>
      <start>42</start>
      <end>43</end>
      <status>modified</status>
      <modifiedWord>）</modifiedWord>
      <trackRevisions>false</trackRevisions>
    </reviewItem>
    <reviewItem>
      <errorID>9dbf016e-f2c1-4b6b-84c9-1c56abfab837</errorID>
      <errorWord>，，</errorWord>
      <group>L1_Punc</group>
      <groupName>标点问题</groupName>
      <ability>L2_Punc</ability>
      <abilityName>标点符号检查</abilityName>
      <candidateList>
        <item>，</item>
      </candidateList>
      <explain/>
      <paraID>6BD46EC0</paraID>
      <start>105</start>
      <end>106</end>
      <status>modified</status>
      <modifiedWord>，</modifiedWord>
      <trackRevisions>false</trackRevisions>
    </reviewItem>
    <reviewItem>
      <errorID>f31d8451-f737-4530-8b37-21da0fdb3ed1</errorID>
      <errorWord>)</errorWord>
      <group>L1_Format</group>
      <groupName>格式问题</groupName>
      <ability>L2_HalfPunc</ability>
      <abilityName>全半角检查</abilityName>
      <candidateList>
        <item>）</item>
      </candidateList>
      <explain>文本全半角错误。</explain>
      <paraID>2F28D810</paraID>
      <start>42</start>
      <end>43</end>
      <status>modified</status>
      <modifiedWord>）</modifiedWord>
      <trackRevisions>false</trackRevisions>
    </reviewItem>
    <reviewItem>
      <errorID>059f0d69-b188-4d33-a4d1-ebbf772c0fa4</errorID>
      <errorWord>海拔高度</errorWord>
      <group>L1_Word</group>
      <groupName>字词问题</groupName>
      <ability>L2_Typo</ability>
      <abilityName>字词错误</abilityName>
      <candidateList>
        <item>海拔</item>
      </candidateList>
      <explain>〈名〉从平均海平面起算的高度。</explain>
      <paraID>2F28D810</paraID>
      <start>256</start>
      <end>258</end>
      <status>modified</status>
      <modifiedWord>海拔</modifiedWord>
      <trackRevisions>false</trackRevisions>
    </reviewItem>
    <reviewItem>
      <errorID>8bd84953-5aee-48ac-8301-15e6069e1f46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79A9127B</paraID>
      <start>0</start>
      <end>2</end>
      <status>modified</status>
      <modifiedWord>1.</modifiedWord>
      <trackRevisions>false</trackRevisions>
    </reviewItem>
    <reviewItem>
      <errorID>59c5f6a6-811e-40e9-bd9d-8fb2d536fdf1</errorID>
      <errorWord>屏幕</errorWord>
      <group>L1_Word</group>
      <groupName>字词问题</groupName>
      <ability>L2_Typo</ability>
      <abilityName>字词错误</abilityName>
      <candidateList>
        <item>屏</item>
      </candidateList>
      <explain/>
      <paraID>79A9127B</paraID>
      <start>83</start>
      <end>84</end>
      <status>modified</status>
      <modifiedWord>屏</modifiedWord>
      <trackRevisions>false</trackRevisions>
    </reviewItem>
    <reviewItem>
      <errorID>c1695b60-81a6-4146-9f5b-e9c51b3e4d01</errorID>
      <errorWord>,</errorWord>
      <group>L1_Format</group>
      <groupName>格式问题</groupName>
      <ability>L2_HalfPunc</ability>
      <abilityName>全半角检查</abilityName>
      <candidateList>
        <item>，</item>
      </candidateList>
      <explain>文本全半角错误。</explain>
      <paraID>79A9127B</paraID>
      <start>260</start>
      <end>261</end>
      <status>modified</status>
      <modifiedWord>，</modifiedWord>
      <trackRevisions>false</trackRevisions>
    </reviewItem>
    <reviewItem>
      <errorID>fce44284-1ccf-4cf8-aa35-3d7a346fb36c</errorID>
      <errorWord>持</errorWord>
      <group>L1_Word</group>
      <groupName>字词问题</groupName>
      <ability>L2_Typo</ability>
      <abilityName>字词错误</abilityName>
      <candidateList>
        <item>持在</item>
      </candidateList>
      <explain/>
      <paraID>79A9127B</paraID>
      <start>776</start>
      <end>778</end>
      <status>modified</status>
      <modifiedWord>持在</modifiedWord>
      <trackRevisions>false</trackRevisions>
    </reviewItem>
    <reviewItem>
      <errorID>016b1404-070b-4b52-9244-3e3c78b22a7d</errorID>
      <errorWord>)</errorWord>
      <group>L1_Format</group>
      <groupName>格式问题</groupName>
      <ability>L2_HalfPunc</ability>
      <abilityName>全半角检查</abilityName>
      <candidateList>
        <item>）</item>
      </candidateList>
      <explain>文本全半角错误。</explain>
      <paraID>456C90FD</paraID>
      <start>25</start>
      <end>26</end>
      <status>modified</status>
      <modifiedWord>）</modifiedWord>
      <trackRevisions>false</trackRevisions>
    </reviewItem>
    <reviewItem>
      <errorID>c62ed956-9bf5-446c-bd23-764ccca43aa1</errorID>
      <errorWord>;</errorWord>
      <group>L1_Format</group>
      <groupName>格式问题</groupName>
      <ability>L2_HalfPunc</ability>
      <abilityName>全半角检查</abilityName>
      <candidateList>
        <item>；</item>
      </candidateList>
      <explain>文本全半角错误。</explain>
      <paraID>456C90FD</paraID>
      <start>70</start>
      <end>71</end>
      <status>modified</status>
      <modifiedWord>；</modifiedWord>
      <trackRevisions>false</trackRevisions>
    </reviewItem>
    <reviewItem>
      <errorID>6e8941ea-9acc-41c6-af98-e7ab30a6dd08</errorID>
      <errorWord>,</errorWord>
      <group>L1_Format</group>
      <groupName>格式问题</groupName>
      <ability>L2_HalfPunc</ability>
      <abilityName>全半角检查</abilityName>
      <candidateList>
        <item>，</item>
      </candidateList>
      <explain>文本全半角错误。</explain>
      <paraID>456C90FD</paraID>
      <start>191</start>
      <end>192</end>
      <status>modified</status>
      <modifiedWord>，</modifiedWord>
      <trackRevisions>false</trackRevisions>
    </reviewItem>
    <reviewItem>
      <errorID>1fbb1f00-97b9-43cb-b92e-38d0850cd448</errorID>
      <errorWord>;</errorWord>
      <group>L1_Format</group>
      <groupName>格式问题</groupName>
      <ability>L2_HalfPunc</ability>
      <abilityName>全半角检查</abilityName>
      <candidateList>
        <item>；</item>
      </candidateList>
      <explain>文本全半角错误。</explain>
      <paraID>456C90FD</paraID>
      <start>338</start>
      <end>339</end>
      <status>modified</status>
      <modifiedWord>；</modifiedWord>
      <trackRevisions>false</trackRevisions>
    </reviewItem>
    <reviewItem>
      <errorID>2702f8b6-3267-451d-8d48-fd81eb2e69a4</errorID>
      <errorWord>;</errorWord>
      <group>L1_Format</group>
      <groupName>格式问题</groupName>
      <ability>L2_HalfPunc</ability>
      <abilityName>全半角检查</abilityName>
      <candidateList>
        <item>；</item>
      </candidateList>
      <explain>文本全半角错误。</explain>
      <paraID>456C90FD</paraID>
      <start>398</start>
      <end>399</end>
      <status>modified</status>
      <modifiedWord>；</modifiedWord>
      <trackRevisions>false</trackRevisions>
    </reviewItem>
    <reviewItem>
      <errorID>4cf13703-8af3-423c-b35b-952dde19ed2a</errorID>
      <errorWord>;</errorWord>
      <group>L1_Format</group>
      <groupName>格式问题</groupName>
      <ability>L2_HalfPunc</ability>
      <abilityName>全半角检查</abilityName>
      <candidateList>
        <item>；</item>
      </candidateList>
      <explain>文本全半角错误。</explain>
      <paraID>456C90FD</paraID>
      <start>419</start>
      <end>420</end>
      <status>modified</status>
      <modifiedWord>；</modifiedWord>
      <trackRevisions>false</trackRevisions>
    </reviewItem>
    <reviewItem>
      <errorID>0c44fa09-a35c-4db8-90bf-781a611291dd</errorID>
      <errorWord>;</errorWord>
      <group>L1_Format</group>
      <groupName>格式问题</groupName>
      <ability>L2_HalfPunc</ability>
      <abilityName>全半角检查</abilityName>
      <candidateList>
        <item>；</item>
      </candidateList>
      <explain>文本全半角错误。</explain>
      <paraID>456C90FD</paraID>
      <start>440</start>
      <end>441</end>
      <status>modified</status>
      <modifiedWord>；</modifiedWord>
      <trackRevisions>false</trackRevisions>
    </reviewItem>
    <reviewItem>
      <errorID>a01b3c52-8629-44fa-a1a3-5af136009c6c</errorID>
      <errorWord>;</errorWord>
      <group>L1_Format</group>
      <groupName>格式问题</groupName>
      <ability>L2_HalfPunc</ability>
      <abilityName>全半角检查</abilityName>
      <candidateList>
        <item>；</item>
      </candidateList>
      <explain>文本全半角错误。</explain>
      <paraID>456C90FD</paraID>
      <start>468</start>
      <end>469</end>
      <status>modified</status>
      <modifiedWord>；</modifiedWord>
      <trackRevisions>false</trackRevisions>
    </reviewItem>
    <reviewItem>
      <errorID>ad232b60-9541-4f0a-b756-4f66d8ddc3d5</errorID>
      <errorWord>;</errorWord>
      <group>L1_Format</group>
      <groupName>格式问题</groupName>
      <ability>L2_HalfPunc</ability>
      <abilityName>全半角检查</abilityName>
      <candidateList>
        <item>；</item>
      </candidateList>
      <explain>文本全半角错误。</explain>
      <paraID>456C90FD</paraID>
      <start>508</start>
      <end>509</end>
      <status>modified</status>
      <modifiedWord>；</modifiedWord>
      <trackRevisions>false</trackRevisions>
    </reviewItem>
    <reviewItem>
      <errorID>71d676d1-2936-414b-8665-5600431b6ad2</errorID>
      <errorWord>;</errorWord>
      <group>L1_Format</group>
      <groupName>格式问题</groupName>
      <ability>L2_HalfPunc</ability>
      <abilityName>全半角检查</abilityName>
      <candidateList>
        <item>；</item>
      </candidateList>
      <explain>文本全半角错误。</explain>
      <paraID>456C90FD</paraID>
      <start>527</start>
      <end>528</end>
      <status>modified</status>
      <modifiedWord>；</modifiedWord>
      <trackRevisions>false</trackRevisions>
    </reviewItem>
    <reviewItem>
      <errorID>28e2c15d-10f4-4dd5-b776-0fc32003ec65</errorID>
      <errorWord>;</errorWord>
      <group>L1_Format</group>
      <groupName>格式问题</groupName>
      <ability>L2_HalfPunc</ability>
      <abilityName>全半角检查</abilityName>
      <candidateList>
        <item>；</item>
      </candidateList>
      <explain>文本全半角错误。</explain>
      <paraID>456C90FD</paraID>
      <start>550</start>
      <end>551</end>
      <status>modified</status>
      <modifiedWord>；</modifiedWord>
      <trackRevisions>false</trackRevisions>
    </reviewItem>
    <reviewItem>
      <errorID>bc7f775d-44a9-492c-a545-d56754f54bed</errorID>
      <errorWord>)</errorWord>
      <group>L1_Format</group>
      <groupName>格式问题</groupName>
      <ability>L2_HalfPunc</ability>
      <abilityName>全半角检查</abilityName>
      <candidateList>
        <item>）</item>
      </candidateList>
      <explain>文本全半角错误。</explain>
      <paraID>456C90FD</paraID>
      <start>598</start>
      <end>599</end>
      <status>modified</status>
      <modifiedWord>）</modifiedWord>
      <trackRevisions>false</trackRevisions>
    </reviewItem>
    <reviewItem>
      <errorID>269c8915-2def-4e22-a573-78a5ab65a410</errorID>
      <errorWord>)</errorWord>
      <group>L1_Format</group>
      <groupName>格式问题</groupName>
      <ability>L2_HalfPunc</ability>
      <abilityName>全半角检查</abilityName>
      <candidateList>
        <item>）</item>
      </candidateList>
      <explain>文本全半角错误。</explain>
      <paraID>532DBFC1</paraID>
      <start>2</start>
      <end>3</end>
      <status>modified</status>
      <modifiedWord>）</modifiedWord>
      <trackRevisions>false</trackRevisions>
    </reviewItem>
    <reviewItem>
      <errorID>045efc8c-8a69-43c5-9b6f-04a7b47f7f0d</errorID>
      <errorWord>)</errorWord>
      <group>L1_Format</group>
      <groupName>格式问题</groupName>
      <ability>L2_HalfPunc</ability>
      <abilityName>全半角检查</abilityName>
      <candidateList>
        <item>）</item>
      </candidateList>
      <explain>文本全半角错误。</explain>
      <paraID>532DBFC1</paraID>
      <start>190</start>
      <end>191</end>
      <status>modified</status>
      <modifiedWord>）</modifiedWord>
      <trackRevisions>false</trackRevisions>
    </reviewItem>
    <reviewItem>
      <errorID>fc42b305-aeec-420d-a96f-87808dbb8145</errorID>
      <errorWord>)</errorWord>
      <group>L1_Format</group>
      <groupName>格式问题</groupName>
      <ability>L2_HalfPunc</ability>
      <abilityName>全半角检查</abilityName>
      <candidateList>
        <item>）</item>
      </candidateList>
      <explain>文本全半角错误。</explain>
      <paraID>532DBFC1</paraID>
      <start>195</start>
      <end>196</end>
      <status>modified</status>
      <modifiedWord>）</modifiedWord>
      <trackRevisions>false</trackRevisions>
    </reviewItem>
    <reviewItem>
      <errorID>b9569eca-601c-41d0-9da5-06cfbfd72016</errorID>
      <errorWord>轨透</errorWord>
      <group>L1_Word</group>
      <groupName>字词问题</groupName>
      <ability>L2_Typo</ability>
      <abilityName>字词错误</abilityName>
      <candidateList>
        <item>轨迹</item>
      </candidateList>
      <explain>存在字形相近字词的误用。</explain>
      <paraID>532DBFC1</paraID>
      <start>231</start>
      <end>233</end>
      <status>modified</status>
      <modifiedWord>轨迹</modifiedWord>
      <trackRevisions>false</trackRevisions>
    </reviewItem>
    <reviewItem>
      <errorID>52b6ccb2-c4a7-4aba-a8ae-21a8a254dec8</errorID>
      <errorWord>:</errorWord>
      <group>L1_Format</group>
      <groupName>格式问题</groupName>
      <ability>L2_HalfPunc</ability>
      <abilityName>全半角检查</abilityName>
      <candidateList>
        <item>：</item>
      </candidateList>
      <explain>文本全半角错误。</explain>
      <paraID>532DBFC1</paraID>
      <start>290</start>
      <end>291</end>
      <status>modified</status>
      <modifiedWord>：</modifiedWord>
      <trackRevisions>false</trackRevisions>
    </reviewItem>
    <reviewItem>
      <errorID>299d7e12-043a-4a43-9f49-6473a89f4fe2</errorID>
      <errorWord>；</errorWord>
      <group>L1_Word</group>
      <groupName>字词问题</groupName>
      <ability>L2_Typo</ability>
      <abilityName>字词错误</abilityName>
      <candidateList>
        <item>；在</item>
      </candidateList>
      <explain/>
      <paraID>532DBFC1</paraID>
      <start>302</start>
      <end>304</end>
      <status>modified</status>
      <modifiedWord>；在</modifiedWord>
      <trackRevisions>false</trackRevisions>
    </reviewItem>
    <reviewItem>
      <errorID>299e0faa-3c29-412b-ba76-2867b3a24494</errorID>
      <errorWord>)</errorWord>
      <group>L1_Format</group>
      <groupName>格式问题</groupName>
      <ability>L2_HalfPunc</ability>
      <abilityName>全半角检查</abilityName>
      <candidateList>
        <item>）</item>
      </candidateList>
      <explain>文本全半角错误。</explain>
      <paraID>532DBFC1</paraID>
      <start>339</start>
      <end>340</end>
      <status>modified</status>
      <modifiedWord>）</modifiedWord>
      <trackRevisions>false</trackRevisions>
    </reviewItem>
    <reviewItem>
      <errorID>b514b3dd-3619-413c-bb10-9b1315a88d41</errorID>
      <errorWord>)</errorWord>
      <group>L1_Format</group>
      <groupName>格式问题</groupName>
      <ability>L2_HalfPunc</ability>
      <abilityName>全半角检查</abilityName>
      <candidateList>
        <item>）</item>
      </candidateList>
      <explain>文本全半角错误。</explain>
      <paraID>6753CF35</paraID>
      <start>63</start>
      <end>64</end>
      <status>modified</status>
      <modifiedWord>）</modifiedWord>
      <trackRevisions>false</trackRevisions>
    </reviewItem>
    <reviewItem>
      <errorID>1f9b0869-0480-4398-96e5-19272f8e6f93</errorID>
      <errorWord>,</errorWord>
      <group>L1_Format</group>
      <groupName>格式问题</groupName>
      <ability>L2_HalfPunc</ability>
      <abilityName>全半角检查</abilityName>
      <candidateList>
        <item>，</item>
      </candidateList>
      <explain>文本全半角错误。</explain>
      <paraID>6753CF35</paraID>
      <start>135</start>
      <end>136</end>
      <status>modified</status>
      <modifiedWord>，</modifiedWord>
      <trackRevisions>false</trackRevisions>
    </reviewItem>
    <reviewItem>
      <errorID>5364562a-8cb8-4e1f-b318-dc469dc4bb24</errorID>
      <errorWord>,</errorWord>
      <group>L1_Format</group>
      <groupName>格式问题</groupName>
      <ability>L2_HalfPunc</ability>
      <abilityName>全半角检查</abilityName>
      <candidateList>
        <item>，</item>
      </candidateList>
      <explain>文本全半角错误。</explain>
      <paraID>6753CF35</paraID>
      <start>165</start>
      <end>166</end>
      <status>modified</status>
      <modifiedWord>，</modifiedWord>
      <trackRevisions>false</trackRevisions>
    </reviewItem>
    <reviewItem>
      <errorID>2706e2b8-2533-4338-8e69-d12e12db4caf</errorID>
      <errorWord>,</errorWord>
      <group>L1_Format</group>
      <groupName>格式问题</groupName>
      <ability>L2_HalfPunc</ability>
      <abilityName>全半角检查</abilityName>
      <candidateList>
        <item>，</item>
      </candidateList>
      <explain>文本全半角错误。</explain>
      <paraID>6753CF35</paraID>
      <start>173</start>
      <end>174</end>
      <status>modified</status>
      <modifiedWord>，</modifiedWord>
      <trackRevisions>false</trackRevisions>
    </reviewItem>
    <reviewItem>
      <errorID>1b26a5b7-41e5-4450-b18b-debb3c46bc08</errorID>
      <errorWord>,</errorWord>
      <group>L1_Format</group>
      <groupName>格式问题</groupName>
      <ability>L2_HalfPunc</ability>
      <abilityName>全半角检查</abilityName>
      <candidateList>
        <item>，</item>
      </candidateList>
      <explain>文本全半角错误。</explain>
      <paraID>6753CF35</paraID>
      <start>204</start>
      <end>205</end>
      <status>modified</status>
      <modifiedWord>，</modifiedWord>
      <trackRevisions>false</trackRevisions>
    </reviewItem>
    <reviewItem>
      <errorID>22fb211e-616b-45de-917c-1e9abf9b5451</errorID>
      <errorWord>&lt;</errorWord>
      <group>L1_Format</group>
      <groupName>格式问题</groupName>
      <ability>L2_HalfPunc</ability>
      <abilityName>全半角检查</abilityName>
      <candidateList>
        <item>〈</item>
      </candidateList>
      <explain>文本全半角错误。</explain>
      <paraID>6753CF35</paraID>
      <start>212</start>
      <end>213</end>
      <status>modified</status>
      <modifiedWord>〈</modifiedWord>
      <trackRevisions>false</trackRevisions>
    </reviewItem>
    <reviewItem>
      <errorID>43ea056d-4c01-4dd3-8724-896470a12526</errorID>
      <errorWord>,</errorWord>
      <group>L1_Format</group>
      <groupName>格式问题</groupName>
      <ability>L2_HalfPunc</ability>
      <abilityName>全半角检查</abilityName>
      <candidateList>
        <item>，</item>
      </candidateList>
      <explain>文本全半角错误。</explain>
      <paraID>6753CF35</paraID>
      <start>220</start>
      <end>221</end>
      <status>modified</status>
      <modifiedWord>，</modifiedWord>
      <trackRevisions>false</trackRevisions>
    </reviewItem>
    <reviewItem>
      <errorID>1ff1123a-4acb-4d3c-a6d6-821d53ff39e3</errorID>
      <errorWord>,</errorWord>
      <group>L1_Format</group>
      <groupName>格式问题</groupName>
      <ability>L2_HalfPunc</ability>
      <abilityName>全半角检查</abilityName>
      <candidateList>
        <item>，</item>
      </candidateList>
      <explain>文本全半角错误。</explain>
      <paraID>6753CF35</paraID>
      <start>240</start>
      <end>241</end>
      <status>modified</status>
      <modifiedWord>，</modifiedWord>
      <trackRevisions>false</trackRevisions>
    </reviewItem>
    <reviewItem>
      <errorID>b76064f9-33bf-412e-91a2-f7d31adac0b0</errorID>
      <errorWord>)</errorWord>
      <group>L1_Format</group>
      <groupName>格式问题</groupName>
      <ability>L2_HalfPunc</ability>
      <abilityName>全半角检查</abilityName>
      <candidateList>
        <item>）</item>
      </candidateList>
      <explain>文本全半角错误。</explain>
      <paraID>6753CF35</paraID>
      <start>274</start>
      <end>275</end>
      <status>modified</status>
      <modifiedWord>）</modifiedWord>
      <trackRevisions>false</trackRevisions>
    </reviewItem>
    <reviewItem>
      <errorID>7f76bf3a-671b-4c10-80ab-c1afec06d801</errorID>
      <errorWord>)</errorWord>
      <group>L1_Format</group>
      <groupName>格式问题</groupName>
      <ability>L2_HalfPunc</ability>
      <abilityName>全半角检查</abilityName>
      <candidateList>
        <item>）</item>
      </candidateList>
      <explain>文本全半角错误。</explain>
      <paraID>6753CF35</paraID>
      <start>291</start>
      <end>292</end>
      <status>modified</status>
      <modifiedWord>）</modifiedWord>
      <trackRevisions>false</trackRevisions>
    </reviewItem>
    <reviewItem>
      <errorID>03183b35-88c8-4f98-a3ee-f73366b58dd7</errorID>
      <errorWord>,</errorWord>
      <group>L1_Format</group>
      <groupName>格式问题</groupName>
      <ability>L2_HalfPunc</ability>
      <abilityName>全半角检查</abilityName>
      <candidateList>
        <item>，</item>
      </candidateList>
      <explain>文本全半角错误。</explain>
      <paraID>6753CF35</paraID>
      <start>301</start>
      <end>302</end>
      <status>modified</status>
      <modifiedWord>，</modifiedWord>
      <trackRevisions>false</trackRevisions>
    </reviewItem>
    <reviewItem>
      <errorID>8014ed32-8cf6-4d5c-b077-9df778ed9d16</errorID>
      <errorWord>,</errorWord>
      <group>L1_Format</group>
      <groupName>格式问题</groupName>
      <ability>L2_HalfPunc</ability>
      <abilityName>全半角检查</abilityName>
      <candidateList>
        <item>，</item>
      </candidateList>
      <explain>文本全半角错误。</explain>
      <paraID>6753CF35</paraID>
      <start>332</start>
      <end>333</end>
      <status>modified</status>
      <modifiedWord>，</modifiedWord>
      <trackRevisions>false</trackRevisions>
    </reviewItem>
    <reviewItem>
      <errorID>ec33fd87-def8-4c6a-9e04-62ab26e2220c</errorID>
      <errorWord>,</errorWord>
      <group>L1_Format</group>
      <groupName>格式问题</groupName>
      <ability>L2_HalfPunc</ability>
      <abilityName>全半角检查</abilityName>
      <candidateList>
        <item>，</item>
      </candidateList>
      <explain>文本全半角错误。</explain>
      <paraID>6753CF35</paraID>
      <start>441</start>
      <end>442</end>
      <status>modified</status>
      <modifiedWord>，</modifiedWord>
      <trackRevisions>false</trackRevisions>
    </reviewItem>
    <reviewItem>
      <errorID>f6aead36-09a4-4b79-9662-3def51855eaa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7A938CC</paraID>
      <start>0</start>
      <end>2</end>
      <status>modified</status>
      <modifiedWord>1.</modifiedWord>
      <trackRevisions>false</trackRevisions>
    </reviewItem>
    <reviewItem>
      <errorID>3ef10042-2a30-4b45-b742-e12968e9ed60</errorID>
      <errorWord>到其它</errorWord>
      <group>L1_Word</group>
      <groupName>字词问题</groupName>
      <ability>L2_Alias</ability>
      <abilityName>也作/曾用词</abilityName>
      <candidateList>
        <item>到其他</item>
      </candidateList>
      <explain>词汇[到其它]为不规范表述或旧称，其规范书面表述为[到其他]。</explain>
      <paraID> 7A938CC</paraID>
      <start>732</start>
      <end>735</end>
      <status>modified</status>
      <modifiedWord>到其他</modifiedWord>
      <trackRevisions>false</trackRevisions>
    </reviewItem>
    <reviewItem>
      <errorID>055a6c68-7b3e-4488-b518-89cf5aa925ba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3E5F369F</paraID>
      <start>0</start>
      <end>2</end>
      <status>modified</status>
      <modifiedWord>1.</modifiedWord>
      <trackRevisions>false</trackRevisions>
    </reviewItem>
    <reviewItem>
      <errorID>a600bc04-b35b-44c5-b394-935cb83f5646</errorID>
      <errorWord>,</errorWord>
      <group>L1_Format</group>
      <groupName>格式问题</groupName>
      <ability>L2_HalfPunc</ability>
      <abilityName>全半角检查</abilityName>
      <candidateList>
        <item>，</item>
      </candidateList>
      <explain>文本全半角错误。</explain>
      <paraID>3E5F369F</paraID>
      <start>33</start>
      <end>34</end>
      <status>modified</status>
      <modifiedWord>，</modifiedWord>
      <trackRevisions>false</trackRevisions>
    </reviewItem>
    <reviewItem>
      <errorID>de6318c9-ab43-48ee-9a9d-ece9b3e80e65</errorID>
      <errorWord>：</errorWord>
      <group>L1_Format</group>
      <groupName>格式问题</groupName>
      <ability>L2_HalfPunc</ability>
      <abilityName>全半角检查</abilityName>
      <candidateList>
        <item>:</item>
      </candidateList>
      <explain>文本全半角错误。</explain>
      <paraID>3E5F369F</paraID>
      <start>94</start>
      <end>95</end>
      <status>modified</status>
      <modifiedWord>:</modifiedWord>
      <trackRevisions>false</trackRevisions>
    </reviewItem>
    <reviewItem>
      <errorID>ba01bdd7-a2e8-491b-bee1-a86b9ba2cca6</errorID>
      <errorWord>)</errorWord>
      <group>L1_Format</group>
      <groupName>格式问题</groupName>
      <ability>L2_HalfPunc</ability>
      <abilityName>全半角检查</abilityName>
      <candidateList>
        <item>）</item>
      </candidateList>
      <explain>文本全半角错误。</explain>
      <paraID>3E5F369F</paraID>
      <start>237</start>
      <end>238</end>
      <status>modified</status>
      <modifiedWord>）</modifiedWord>
      <trackRevisions>false</trackRevisions>
    </reviewItem>
    <reviewItem>
      <errorID>a785fdd5-252c-402d-b4d0-3339bc005bc2</errorID>
      <errorWord>0-100%</errorWord>
      <group>L1_Knowledge</group>
      <groupName>知识性问题</groupName>
      <ability>L2_Knowledge</ability>
      <abilityName>其他知识</abilityName>
      <candidateList>
        <item>0—100%</item>
      </candidateList>
      <explain>1. “0-100%”中的单位“%”仅出现在后一个数字上，容易引起歧义；根据《现代汉语标点符号数字用法规范手册》，数字表示范围两边需要使用统一的格式。2. 根据标点国标 4.13 中的规则，数字、时间或地域连接符应使用（视觉上更长的）“—”或“～”。</explain>
      <paraID>3E5F369F</paraID>
      <start>339</start>
      <end>345</end>
      <status>modified</status>
      <modifiedWord>0—100%</modifiedWord>
      <trackRevisions>false</trackRevisions>
    </reviewItem>
    <reviewItem>
      <errorID>56956c8e-9e93-4b3d-9cd6-44d5f0a9cbfe</errorID>
      <errorWord>：：</errorWord>
      <group>L1_Punc</group>
      <groupName>标点问题</groupName>
      <ability>L2_Punc</ability>
      <abilityName>标点符号检查</abilityName>
      <candidateList>
        <item>：</item>
      </candidateList>
      <explain/>
      <paraID>3E5F369F</paraID>
      <start>543</start>
      <end>544</end>
      <status>modified</status>
      <modifiedWord>：</modifiedWord>
      <trackRevisions>false</trackRevisions>
    </reviewItem>
    <reviewItem>
      <errorID>936cbac4-4c08-4404-b77d-e1101d197e5a</errorID>
      <errorWord>)</errorWord>
      <group>L1_Format</group>
      <groupName>格式问题</groupName>
      <ability>L2_HalfPunc</ability>
      <abilityName>全半角检查</abilityName>
      <candidateList>
        <item>）</item>
      </candidateList>
      <explain>文本全半角错误。</explain>
      <paraID>3E5F369F</paraID>
      <start>1445</start>
      <end>1446</end>
      <status>modified</status>
      <modifiedWord>）</modifiedWord>
      <trackRevisions>false</trackRevisions>
    </reviewItem>
    <reviewItem>
      <errorID>33b8b600-dd4d-4115-90f7-601631df9890</errorID>
      <errorWord>)</errorWord>
      <group>L1_Format</group>
      <groupName>格式问题</groupName>
      <ability>L2_HalfPunc</ability>
      <abilityName>全半角检查</abilityName>
      <candidateList>
        <item>）</item>
      </candidateList>
      <explain>文本全半角错误。</explain>
      <paraID>3E5F369F</paraID>
      <start>1466</start>
      <end>1467</end>
      <status>modified</status>
      <modifiedWord>）</modifiedWord>
      <trackRevisions>false</trackRevisions>
    </reviewItem>
    <reviewItem>
      <errorID>dc66ff94-16ee-46a0-ad49-cf2d5f32f4bc</errorID>
      <errorWord>KW</errorWord>
      <group>L1_Word</group>
      <groupName>字词问题</groupName>
      <ability>L2_Typo</ability>
      <abilityName>字词错误</abilityName>
      <candidateList>
        <item>kW</item>
      </candidateList>
      <explain/>
      <paraID>34BB0F43</paraID>
      <start>3</start>
      <end>5</end>
      <status>modified</status>
      <modifiedWord>kW</modifiedWord>
      <trackRevisions>false</trackRevisions>
    </reviewItem>
    <reviewItem>
      <errorID>714b7b53-c00b-44b2-bc35-1234638df1df</errorID>
      <errorWord>)</errorWord>
      <group>L1_Format</group>
      <groupName>格式问题</groupName>
      <ability>L2_HalfPunc</ability>
      <abilityName>全半角检查</abilityName>
      <candidateList>
        <item>）</item>
      </candidateList>
      <explain>文本全半角错误。</explain>
      <paraID>34BB0F43</paraID>
      <start>5</start>
      <end>6</end>
      <status>modified</status>
      <modifiedWord>）</modifiedWord>
      <trackRevisions>false</trackRevisions>
    </reviewItem>
    <reviewItem>
      <errorID>37fc5cee-13ce-4a7f-b97c-3af779581fae</errorID>
      <errorWord>屏体</errorWord>
      <group>L1_Word</group>
      <groupName>字词问题</groupName>
      <ability>L2_Typo</ability>
      <abilityName>字词错误</abilityName>
      <candidateList>
        <item>屏幕</item>
      </candidateList>
      <explain/>
      <paraID>34BB0F43</paraID>
      <start>31</start>
      <end>33</end>
      <status>modified</status>
      <modifiedWord>屏幕</modifiedWord>
      <trackRevisions>false</trackRevisions>
    </reviewItem>
    <reviewItem>
      <errorID>05f36a17-6f42-44a0-87a6-d8d4326da7f5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7E416472</paraID>
      <start>0</start>
      <end>2</end>
      <status>modified</status>
      <modifiedWord>1.</modifiedWord>
      <trackRevisions>false</trackRevisions>
    </reviewItem>
    <reviewItem>
      <errorID>8d960045-faa1-4e4b-aed8-92120c9acd26</errorID>
      <errorWord>,</errorWord>
      <group>L1_Format</group>
      <groupName>格式问题</groupName>
      <ability>L2_HalfPunc</ability>
      <abilityName>全半角检查</abilityName>
      <candidateList>
        <item>，</item>
      </candidateList>
      <explain>文本全半角错误。</explain>
      <paraID>7E416472</paraID>
      <start>33</start>
      <end>34</end>
      <status>modified</status>
      <modifiedWord>，</modifiedWord>
      <trackRevisions>false</trackRevisions>
    </reviewItem>
    <reviewItem>
      <errorID>741a87e3-6c54-4b59-b935-3e56292efa81</errorID>
      <errorWord>：</errorWord>
      <group>L1_Format</group>
      <groupName>格式问题</groupName>
      <ability>L2_HalfPunc</ability>
      <abilityName>全半角检查</abilityName>
      <candidateList>
        <item>:</item>
      </candidateList>
      <explain>文本全半角错误。</explain>
      <paraID>7E416472</paraID>
      <start>94</start>
      <end>95</end>
      <status>modified</status>
      <modifiedWord>:</modifiedWord>
      <trackRevisions>false</trackRevisions>
    </reviewItem>
    <reviewItem>
      <errorID>10ada029-3cef-4b01-9aae-2214a97de023</errorID>
      <errorWord>)</errorWord>
      <group>L1_Format</group>
      <groupName>格式问题</groupName>
      <ability>L2_HalfPunc</ability>
      <abilityName>全半角检查</abilityName>
      <candidateList>
        <item>）</item>
      </candidateList>
      <explain>文本全半角错误。</explain>
      <paraID>7E416472</paraID>
      <start>237</start>
      <end>238</end>
      <status>modified</status>
      <modifiedWord>）</modifiedWord>
      <trackRevisions>false</trackRevisions>
    </reviewItem>
    <reviewItem>
      <errorID>d3f8b02f-b7e6-45c3-9bf2-ea3753d1e84a</errorID>
      <errorWord>0-100%</errorWord>
      <group>L1_Knowledge</group>
      <groupName>知识性问题</groupName>
      <ability>L2_Knowledge</ability>
      <abilityName>其他知识</abilityName>
      <candidateList>
        <item>0—100%</item>
      </candidateList>
      <explain>1. “0-100%”中的单位“%”仅出现在后一个数字上，容易引起歧义；根据《现代汉语标点符号数字用法规范手册》，数字表示范围两边需要使用统一的格式。2. 根据标点国标 4.13 中的规则，数字、时间或地域连接符应使用（视觉上更长的）“—”或“～”。</explain>
      <paraID>7E416472</paraID>
      <start>339</start>
      <end>345</end>
      <status>modified</status>
      <modifiedWord>0—100%</modifiedWord>
      <trackRevisions>false</trackRevisions>
    </reviewItem>
    <reviewItem>
      <errorID>1e224aad-388e-42bc-973d-d627a2547790</errorID>
      <errorWord>：：</errorWord>
      <group>L1_Punc</group>
      <groupName>标点问题</groupName>
      <ability>L2_Punc</ability>
      <abilityName>标点符号检查</abilityName>
      <candidateList>
        <item>：</item>
      </candidateList>
      <explain/>
      <paraID>7E416472</paraID>
      <start>543</start>
      <end>544</end>
      <status>modified</status>
      <modifiedWord>：</modifiedWord>
      <trackRevisions>false</trackRevisions>
    </reviewItem>
    <reviewItem>
      <errorID>55843949-9ccb-40a0-b945-6557ac210122</errorID>
      <errorWord>)</errorWord>
      <group>L1_Format</group>
      <groupName>格式问题</groupName>
      <ability>L2_HalfPunc</ability>
      <abilityName>全半角检查</abilityName>
      <candidateList>
        <item>）</item>
      </candidateList>
      <explain>文本全半角错误。</explain>
      <paraID>7E416472</paraID>
      <start>1445</start>
      <end>1446</end>
      <status>modified</status>
      <modifiedWord>）</modifiedWord>
      <trackRevisions>false</trackRevisions>
    </reviewItem>
    <reviewItem>
      <errorID>c4380101-16c9-44f5-a5db-42264314ae2d</errorID>
      <errorWord>)</errorWord>
      <group>L1_Format</group>
      <groupName>格式问题</groupName>
      <ability>L2_HalfPunc</ability>
      <abilityName>全半角检查</abilityName>
      <candidateList>
        <item>）</item>
      </candidateList>
      <explain>文本全半角错误。</explain>
      <paraID>7E416472</paraID>
      <start>1466</start>
      <end>1467</end>
      <status>modified</status>
      <modifiedWord>）</modifiedWord>
      <trackRevisions>false</trackRevisions>
    </reviewItem>
    <reviewItem>
      <errorID>41d3c939-7466-4c39-a221-7c96e0393154</errorID>
      <errorWord>KW</errorWord>
      <group>L1_Word</group>
      <groupName>字词问题</groupName>
      <ability>L2_Typo</ability>
      <abilityName>字词错误</abilityName>
      <candidateList>
        <item>kW</item>
      </candidateList>
      <explain/>
      <paraID>4E173F86</paraID>
      <start>4</start>
      <end>6</end>
      <status>modified</status>
      <modifiedWord>kW</modifiedWord>
      <trackRevisions>false</trackRevisions>
    </reviewItem>
    <reviewItem>
      <errorID>818d238b-562f-4d08-a977-3463b05003fa</errorID>
      <errorWord>)</errorWord>
      <group>L1_Format</group>
      <groupName>格式问题</groupName>
      <ability>L2_HalfPunc</ability>
      <abilityName>全半角检查</abilityName>
      <candidateList>
        <item>）</item>
      </candidateList>
      <explain>文本全半角错误。</explain>
      <paraID>4E173F86</paraID>
      <start>6</start>
      <end>7</end>
      <status>modified</status>
      <modifiedWord>）</modifiedWord>
      <trackRevisions>false</trackRevisions>
    </reviewItem>
    <reviewItem>
      <errorID>8d00dc38-993f-4788-a1e4-6e2ae99664b2</errorID>
      <errorWord>屏体</errorWord>
      <group>L1_Word</group>
      <groupName>字词问题</groupName>
      <ability>L2_Typo</ability>
      <abilityName>字词错误</abilityName>
      <candidateList>
        <item>屏幕</item>
      </candidateList>
      <explain/>
      <paraID>4E173F86</paraID>
      <start>32</start>
      <end>34</end>
      <status>modified</status>
      <modifiedWord>屏幕</modifiedWord>
      <trackRevisions>false</trackRevisions>
    </reviewItem>
    <reviewItem>
      <errorID>23bbf953-bfb9-4ad5-bad4-473562d07866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165CB9B6</paraID>
      <start>0</start>
      <end>2</end>
      <status>modified</status>
      <modifiedWord>1.</modifiedWord>
      <trackRevisions>false</trackRevisions>
    </reviewItem>
    <reviewItem>
      <errorID>43d27c97-0105-429b-b438-bddb34b855f4</errorID>
      <errorWord>,</errorWord>
      <group>L1_Format</group>
      <groupName>格式问题</groupName>
      <ability>L2_HalfPunc</ability>
      <abilityName>全半角检查</abilityName>
      <candidateList>
        <item>，</item>
      </candidateList>
      <explain>文本全半角错误。</explain>
      <paraID>165CB9B6</paraID>
      <start>33</start>
      <end>34</end>
      <status>modified</status>
      <modifiedWord>，</modifiedWord>
      <trackRevisions>false</trackRevisions>
    </reviewItem>
    <reviewItem>
      <errorID>59f19d26-0f02-4497-adf0-8091c3775c8a</errorID>
      <errorWord>：</errorWord>
      <group>L1_Format</group>
      <groupName>格式问题</groupName>
      <ability>L2_HalfPunc</ability>
      <abilityName>全半角检查</abilityName>
      <candidateList>
        <item>:</item>
      </candidateList>
      <explain>文本全半角错误。</explain>
      <paraID>165CB9B6</paraID>
      <start>94</start>
      <end>95</end>
      <status>modified</status>
      <modifiedWord>:</modifiedWord>
      <trackRevisions>false</trackRevisions>
    </reviewItem>
    <reviewItem>
      <errorID>986ef1c0-03d2-4bc9-b7eb-5296f84efd73</errorID>
      <errorWord>)</errorWord>
      <group>L1_Format</group>
      <groupName>格式问题</groupName>
      <ability>L2_HalfPunc</ability>
      <abilityName>全半角检查</abilityName>
      <candidateList>
        <item>）</item>
      </candidateList>
      <explain>文本全半角错误。</explain>
      <paraID>165CB9B6</paraID>
      <start>237</start>
      <end>238</end>
      <status>modified</status>
      <modifiedWord>）</modifiedWord>
      <trackRevisions>false</trackRevisions>
    </reviewItem>
    <reviewItem>
      <errorID>1a3ff514-7316-4ea1-89ed-e89ebb32ce57</errorID>
      <errorWord>0-100%</errorWord>
      <group>L1_Knowledge</group>
      <groupName>知识性问题</groupName>
      <ability>L2_Knowledge</ability>
      <abilityName>其他知识</abilityName>
      <candidateList>
        <item>0—100%</item>
      </candidateList>
      <explain>1. “0-100%”中的单位“%”仅出现在后一个数字上，容易引起歧义；根据《现代汉语标点符号数字用法规范手册》，数字表示范围两边需要使用统一的格式。2. 根据标点国标 4.13 中的规则，数字、时间或地域连接符应使用（视觉上更长的）“—”或“～”。</explain>
      <paraID>165CB9B6</paraID>
      <start>339</start>
      <end>345</end>
      <status>modified</status>
      <modifiedWord>0—100%</modifiedWord>
      <trackRevisions>false</trackRevisions>
    </reviewItem>
    <reviewItem>
      <errorID>dbef76a2-a1e7-4c01-b12e-f4031c8c93d2</errorID>
      <errorWord>：：</errorWord>
      <group>L1_Punc</group>
      <groupName>标点问题</groupName>
      <ability>L2_Punc</ability>
      <abilityName>标点符号检查</abilityName>
      <candidateList>
        <item>：</item>
      </candidateList>
      <explain/>
      <paraID>165CB9B6</paraID>
      <start>543</start>
      <end>544</end>
      <status>modified</status>
      <modifiedWord>：</modifiedWord>
      <trackRevisions>false</trackRevisions>
    </reviewItem>
    <reviewItem>
      <errorID>dd361854-1efd-4814-8e32-36068c129381</errorID>
      <errorWord>)</errorWord>
      <group>L1_Format</group>
      <groupName>格式问题</groupName>
      <ability>L2_HalfPunc</ability>
      <abilityName>全半角检查</abilityName>
      <candidateList>
        <item>）</item>
      </candidateList>
      <explain>文本全半角错误。</explain>
      <paraID>165CB9B6</paraID>
      <start>1445</start>
      <end>1446</end>
      <status>modified</status>
      <modifiedWord>）</modifiedWord>
      <trackRevisions>false</trackRevisions>
    </reviewItem>
    <reviewItem>
      <errorID>df4789da-502a-4559-80ac-165e9d161618</errorID>
      <errorWord>)</errorWord>
      <group>L1_Format</group>
      <groupName>格式问题</groupName>
      <ability>L2_HalfPunc</ability>
      <abilityName>全半角检查</abilityName>
      <candidateList>
        <item>）</item>
      </candidateList>
      <explain>文本全半角错误。</explain>
      <paraID>165CB9B6</paraID>
      <start>1466</start>
      <end>1467</end>
      <status>modified</status>
      <modifiedWord>）</modifiedWord>
      <trackRevisions>false</trackRevisions>
    </reviewItem>
    <reviewItem>
      <errorID>4eb2e2b5-1b59-4a9c-a3f7-2a37f74916b1</errorID>
      <errorWord>KW</errorWord>
      <group>L1_Word</group>
      <groupName>字词问题</groupName>
      <ability>L2_Typo</ability>
      <abilityName>字词错误</abilityName>
      <candidateList>
        <item>kW</item>
      </candidateList>
      <explain/>
      <paraID> A1E0473</paraID>
      <start>4</start>
      <end>6</end>
      <status>modified</status>
      <modifiedWord>kW</modifiedWord>
      <trackRevisions>false</trackRevisions>
    </reviewItem>
    <reviewItem>
      <errorID>fba5494f-ed9a-4693-8775-faa165ef81f3</errorID>
      <errorWord>)</errorWord>
      <group>L1_Format</group>
      <groupName>格式问题</groupName>
      <ability>L2_HalfPunc</ability>
      <abilityName>全半角检查</abilityName>
      <candidateList>
        <item>）</item>
      </candidateList>
      <explain>文本全半角错误。</explain>
      <paraID> A1E0473</paraID>
      <start>6</start>
      <end>7</end>
      <status>modified</status>
      <modifiedWord>）</modifiedWord>
      <trackRevisions>false</trackRevisions>
    </reviewItem>
    <reviewItem>
      <errorID>1484a081-e038-4305-aa5c-02ba3d7d79c3</errorID>
      <errorWord>屏体</errorWord>
      <group>L1_Word</group>
      <groupName>字词问题</groupName>
      <ability>L2_Typo</ability>
      <abilityName>字词错误</abilityName>
      <candidateList>
        <item>屏幕</item>
      </candidateList>
      <explain/>
      <paraID> A1E0473</paraID>
      <start>32</start>
      <end>34</end>
      <status>modified</status>
      <modifiedWord>屏幕</modifiedWord>
      <trackRevisions>false</trackRevisions>
    </reviewItem>
    <reviewItem>
      <errorID>183701c1-4c91-4b4e-b1f6-0ff5167251fd</errorID>
      <errorWord>8千</errorWord>
      <group>L1_Knowledge</group>
      <groupName>知识性问题</groupName>
      <ability>L2_Knowledge</ability>
      <abilityName>其他知识</abilityName>
      <candidateList>
        <item>8000</item>
      </candidateList>
      <explain/>
      <paraID>20C2D0F9</paraID>
      <start>118</start>
      <end>122</end>
      <status>modified</status>
      <modifiedWord>8000</modifiedWord>
      <trackRevisions>false</trackRevisions>
    </reviewItem>
    <reviewItem>
      <errorID>821a4b41-331a-4e23-9ee0-207ccae43bbc</errorID>
      <errorWord>:</errorWord>
      <group>L1_Format</group>
      <groupName>格式问题</groupName>
      <ability>L2_HalfPunc</ability>
      <abilityName>全半角检查</abilityName>
      <candidateList>
        <item>：</item>
      </candidateList>
      <explain>文本全半角错误。</explain>
      <paraID>5186790B</paraID>
      <start>169</start>
      <end>170</end>
      <status>modified</status>
      <modifiedWord>：</modifiedWord>
      <trackRevisions>false</trackRevisions>
    </reviewItem>
    <reviewItem>
      <errorID>40474882-1279-4001-95ec-7806d6857d47</errorID>
      <errorWord>)</errorWord>
      <group>L1_Format</group>
      <groupName>格式问题</groupName>
      <ability>L2_HalfPunc</ability>
      <abilityName>全半角检查</abilityName>
      <candidateList>
        <item>）</item>
      </candidateList>
      <explain>文本全半角错误。</explain>
      <paraID>5186790B</paraID>
      <start>184</start>
      <end>185</end>
      <status>modified</status>
      <modifiedWord>）</modifiedWord>
      <trackRevisions>false</trackRevisions>
    </reviewItem>
    <reviewItem>
      <errorID>fd63cef9-bef7-4d17-a4ca-c98fe49aa478</errorID>
      <errorWord>.&gt;</errorWord>
      <group>L1_Punc</group>
      <groupName>标点问题</groupName>
      <ability>L2_Punc</ability>
      <abilityName>标点符号检查</abilityName>
      <candidateList>
        <item>.</item>
      </candidateList>
      <explain/>
      <paraID>5186790B</paraID>
      <start>236</start>
      <end>237</end>
      <status>modified</status>
      <modifiedWord>.</modifiedWord>
      <trackRevisions>false</trackRevisions>
    </reviewItem>
    <reviewItem>
      <errorID>c2606895-9946-4ddd-8824-872a139bc658</errorID>
      <errorWord>)</errorWord>
      <group>L1_Format</group>
      <groupName>格式问题</groupName>
      <ability>L2_HalfPunc</ability>
      <abilityName>全半角检查</abilityName>
      <candidateList>
        <item>）</item>
      </candidateList>
      <explain>文本全半角错误。</explain>
      <paraID>5186790B</paraID>
      <start>324</start>
      <end>325</end>
      <status>modified</status>
      <modifiedWord>）</modifiedWord>
      <trackRevisions>false</trackRevisions>
    </reviewItem>
    <reviewItem>
      <errorID>13d72ec4-fb4a-4dee-97c6-d203f62f4262</errorID>
      <errorWord>)</errorWord>
      <group>L1_Format</group>
      <groupName>格式问题</groupName>
      <ability>L2_HalfPunc</ability>
      <abilityName>全半角检查</abilityName>
      <candidateList>
        <item>）</item>
      </candidateList>
      <explain>文本全半角错误。</explain>
      <paraID>5186790B</paraID>
      <start>339</start>
      <end>340</end>
      <status>modified</status>
      <modifiedWord>）</modifiedWord>
      <trackRevisions>false</trackRevisions>
    </reviewItem>
    <reviewItem>
      <errorID>8da8d024-1775-459b-a75b-6461a5c0a9d1</errorID>
      <errorWord>:</errorWord>
      <group>L1_Format</group>
      <groupName>格式问题</groupName>
      <ability>L2_HalfPunc</ability>
      <abilityName>全半角检查</abilityName>
      <candidateList>
        <item>：</item>
      </candidateList>
      <explain>文本全半角错误。</explain>
      <paraID>5186790B</paraID>
      <start>351</start>
      <end>352</end>
      <status>modified</status>
      <modifiedWord>：</modifiedWord>
      <trackRevisions>false</trackRevisions>
    </reviewItem>
    <reviewItem>
      <errorID>4525d1d8-a05a-4c4b-ac63-0526cba276a1</errorID>
      <errorWord>,</errorWord>
      <group>L1_Format</group>
      <groupName>格式问题</groupName>
      <ability>L2_HalfPunc</ability>
      <abilityName>全半角检查</abilityName>
      <candidateList>
        <item>，</item>
      </candidateList>
      <explain>文本全半角错误。</explain>
      <paraID>5186790B</paraID>
      <start>453</start>
      <end>454</end>
      <status>modified</status>
      <modifiedWord>，</modifiedWord>
      <trackRevisions>false</trackRevisions>
    </reviewItem>
    <reviewItem>
      <errorID>20ccc1c6-a170-4701-bdca-c90fa30da9dc</errorID>
      <errorWord>,</errorWord>
      <group>L1_Format</group>
      <groupName>格式问题</groupName>
      <ability>L2_HalfPunc</ability>
      <abilityName>全半角检查</abilityName>
      <candidateList>
        <item>，</item>
      </candidateList>
      <explain>文本全半角错误。</explain>
      <paraID>5186790B</paraID>
      <start>464</start>
      <end>465</end>
      <status>modified</status>
      <modifiedWord>，</modifiedWord>
      <trackRevisions>false</trackRevisions>
    </reviewItem>
    <reviewItem>
      <errorID>60bfa8ee-5f25-4eac-b2b5-5dcf6d03a6a9</errorID>
      <errorWord>,</errorWord>
      <group>L1_Format</group>
      <groupName>格式问题</groupName>
      <ability>L2_HalfPunc</ability>
      <abilityName>全半角检查</abilityName>
      <candidateList>
        <item>，</item>
      </candidateList>
      <explain>文本全半角错误。</explain>
      <paraID>5186790B</paraID>
      <start>472</start>
      <end>473</end>
      <status>modified</status>
      <modifiedWord>，</modifiedWord>
      <trackRevisions>false</trackRevisions>
    </reviewItem>
    <reviewItem>
      <errorID>3726b9a3-6d17-4f09-afe6-9d23f3f5178a</errorID>
      <errorWord>,</errorWord>
      <group>L1_Format</group>
      <groupName>格式问题</groupName>
      <ability>L2_HalfPunc</ability>
      <abilityName>全半角检查</abilityName>
      <candidateList>
        <item>，</item>
      </candidateList>
      <explain>文本全半角错误。</explain>
      <paraID>5186790B</paraID>
      <start>483</start>
      <end>484</end>
      <status>modified</status>
      <modifiedWord>，</modifiedWord>
      <trackRevisions>false</trackRevisions>
    </reviewItem>
    <reviewItem>
      <errorID>ab3c14b8-adb8-49d3-8a40-d45006ec3cc0</errorID>
      <errorWord>,</errorWord>
      <group>L1_Format</group>
      <groupName>格式问题</groupName>
      <ability>L2_HalfPunc</ability>
      <abilityName>全半角检查</abilityName>
      <candidateList>
        <item>，</item>
      </candidateList>
      <explain>文本全半角错误。</explain>
      <paraID>5186790B</paraID>
      <start>510</start>
      <end>511</end>
      <status>modified</status>
      <modifiedWord>，</modifiedWord>
      <trackRevisions>false</trackRevisions>
    </reviewItem>
    <reviewItem>
      <errorID>cad80904-329e-4d58-a661-4a7f3b9a1ebc</errorID>
      <errorWord>：;</errorWord>
      <group>L1_Punc</group>
      <groupName>标点问题</groupName>
      <ability>L2_Punc</ability>
      <abilityName>标点符号检查</abilityName>
      <candidateList>
        <item>：</item>
      </candidateList>
      <explain/>
      <paraID> 29ED0B6</paraID>
      <start>96</start>
      <end>97</end>
      <status>modified</status>
      <modifiedWord>：</modifiedWord>
      <trackRevisions>false</trackRevisions>
    </reviewItem>
    <reviewItem>
      <errorID>bc61a102-27a8-4a57-8ca4-c5c10e9a1163</errorID>
      <errorWord>,</errorWord>
      <group>L1_Format</group>
      <groupName>格式问题</groupName>
      <ability>L2_HalfPunc</ability>
      <abilityName>全半角检查</abilityName>
      <candidateList>
        <item>，</item>
      </candidateList>
      <explain>文本全半角错误。</explain>
      <paraID> 29ED0B6</paraID>
      <start>111</start>
      <end>112</end>
      <status>modified</status>
      <modifiedWord>，</modifiedWord>
      <trackRevisions>false</trackRevisions>
    </reviewItem>
    <reviewItem>
      <errorID>33a1106d-13ae-44be-95ee-bd9e9fb97c5c</errorID>
      <errorWord>..</errorWord>
      <group>L1_Punc</group>
      <groupName>标点问题</groupName>
      <ability>L2_Punc</ability>
      <abilityName>标点符号检查</abilityName>
      <candidateList>
        <item>.</item>
      </candidateList>
      <explain/>
      <paraID> 29ED0B6</paraID>
      <start>129</start>
      <end>130</end>
      <status>modified</status>
      <modifiedWord>.</modifiedWord>
      <trackRevisions>false</trackRevisions>
    </reviewItem>
    <reviewItem>
      <errorID>df53f86b-c6de-44b8-8e19-e5c2ef9e3b33</errorID>
      <errorWord>)</errorWord>
      <group>L1_Format</group>
      <groupName>格式问题</groupName>
      <ability>L2_HalfPunc</ability>
      <abilityName>全半角检查</abilityName>
      <candidateList>
        <item>）</item>
      </candidateList>
      <explain>文本全半角错误。</explain>
      <paraID> 29ED0B6</paraID>
      <start>213</start>
      <end>214</end>
      <status>modified</status>
      <modifiedWord>）</modifiedWord>
      <trackRevisions>false</trackRevisions>
    </reviewItem>
    <reviewItem>
      <errorID>f618d393-c293-4e30-be5c-0e5e678c0549</errorID>
      <errorWord>)</errorWord>
      <group>L1_Format</group>
      <groupName>格式问题</groupName>
      <ability>L2_HalfPunc</ability>
      <abilityName>全半角检查</abilityName>
      <candidateList>
        <item>）</item>
      </candidateList>
      <explain>文本全半角错误。</explain>
      <paraID> 29ED0B6</paraID>
      <start>228</start>
      <end>229</end>
      <status>modified</status>
      <modifiedWord>）</modifiedWord>
      <trackRevisions>false</trackRevisions>
    </reviewItem>
    <reviewItem>
      <errorID>a6ec7db0-79b5-4c11-a6af-4fcf32547c4e</errorID>
      <errorWord>:</errorWord>
      <group>L1_Format</group>
      <groupName>格式问题</groupName>
      <ability>L2_HalfPunc</ability>
      <abilityName>全半角检查</abilityName>
      <candidateList>
        <item>：</item>
      </candidateList>
      <explain>文本全半角错误。</explain>
      <paraID> 29ED0B6</paraID>
      <start>240</start>
      <end>241</end>
      <status>modified</status>
      <modifiedWord>：</modifiedWord>
      <trackRevisions>false</trackRevisions>
    </reviewItem>
    <reviewItem>
      <errorID>013777ef-07ad-4a99-99b7-65a16dd4c6b4</errorID>
      <errorWord>,</errorWord>
      <group>L1_Format</group>
      <groupName>格式问题</groupName>
      <ability>L2_HalfPunc</ability>
      <abilityName>全半角检查</abilityName>
      <candidateList>
        <item>，</item>
      </candidateList>
      <explain>文本全半角错误。</explain>
      <paraID> 29ED0B6</paraID>
      <start>342</start>
      <end>343</end>
      <status>modified</status>
      <modifiedWord>，</modifiedWord>
      <trackRevisions>false</trackRevisions>
    </reviewItem>
    <reviewItem>
      <errorID>73f43342-db54-4625-a87e-e85c6e19ad38</errorID>
      <errorWord>,</errorWord>
      <group>L1_Format</group>
      <groupName>格式问题</groupName>
      <ability>L2_HalfPunc</ability>
      <abilityName>全半角检查</abilityName>
      <candidateList>
        <item>，</item>
      </candidateList>
      <explain>文本全半角错误。</explain>
      <paraID> 29ED0B6</paraID>
      <start>353</start>
      <end>354</end>
      <status>modified</status>
      <modifiedWord>，</modifiedWord>
      <trackRevisions>false</trackRevisions>
    </reviewItem>
    <reviewItem>
      <errorID>027b0111-8347-4f12-8188-34bdc9e9718a</errorID>
      <errorWord>,</errorWord>
      <group>L1_Format</group>
      <groupName>格式问题</groupName>
      <ability>L2_HalfPunc</ability>
      <abilityName>全半角检查</abilityName>
      <candidateList>
        <item>，</item>
      </candidateList>
      <explain>文本全半角错误。</explain>
      <paraID> 29ED0B6</paraID>
      <start>361</start>
      <end>362</end>
      <status>modified</status>
      <modifiedWord>，</modifiedWord>
      <trackRevisions>false</trackRevisions>
    </reviewItem>
    <reviewItem>
      <errorID>a4cdce4e-5762-42d6-9590-1aa6e3cfc02a</errorID>
      <errorWord>,</errorWord>
      <group>L1_Format</group>
      <groupName>格式问题</groupName>
      <ability>L2_HalfPunc</ability>
      <abilityName>全半角检查</abilityName>
      <candidateList>
        <item>，</item>
      </candidateList>
      <explain>文本全半角错误。</explain>
      <paraID> 29ED0B6</paraID>
      <start>372</start>
      <end>373</end>
      <status>modified</status>
      <modifiedWord>，</modifiedWord>
      <trackRevisions>false</trackRevisions>
    </reviewItem>
    <reviewItem>
      <errorID>b2a32dcd-a11a-4702-b755-18960b3e3aaf</errorID>
      <errorWord>,</errorWord>
      <group>L1_Format</group>
      <groupName>格式问题</groupName>
      <ability>L2_HalfPunc</ability>
      <abilityName>全半角检查</abilityName>
      <candidateList>
        <item>，</item>
      </candidateList>
      <explain>文本全半角错误。</explain>
      <paraID> 29ED0B6</paraID>
      <start>399</start>
      <end>400</end>
      <status>modified</status>
      <modifiedWord>，</modifiedWord>
      <trackRevisions>false</trackRevisions>
    </reviewItem>
    <reviewItem>
      <errorID>8374892d-ace8-4e36-90d7-ac461c426169</errorID>
      <errorWord>,</errorWord>
      <group>L1_Format</group>
      <groupName>格式问题</groupName>
      <ability>L2_HalfPunc</ability>
      <abilityName>全半角检查</abilityName>
      <candidateList>
        <item>，</item>
      </candidateList>
      <explain>文本全半角错误。</explain>
      <paraID> 29ED0B6</paraID>
      <start>453</start>
      <end>454</end>
      <status>modified</status>
      <modifiedWord>，</modifiedWord>
      <trackRevisions>false</trackRevisions>
    </reviewItem>
    <reviewItem>
      <errorID>fa0ec1cd-e07a-42dd-bf01-8d90b932c182</errorID>
      <errorWord>：;</errorWord>
      <group>L1_Punc</group>
      <groupName>标点问题</groupName>
      <ability>L2_Punc</ability>
      <abilityName>标点符号检查</abilityName>
      <candidateList>
        <item>：</item>
      </candidateList>
      <explain/>
      <paraID>55D0DC7C</paraID>
      <start>96</start>
      <end>97</end>
      <status>modified</status>
      <modifiedWord>：</modifiedWord>
      <trackRevisions>false</trackRevisions>
    </reviewItem>
    <reviewItem>
      <errorID>c6fa6227-aabe-4d6d-a192-0d04641bb25a</errorID>
      <errorWord>,</errorWord>
      <group>L1_Format</group>
      <groupName>格式问题</groupName>
      <ability>L2_HalfPunc</ability>
      <abilityName>全半角检查</abilityName>
      <candidateList>
        <item>，</item>
      </candidateList>
      <explain>文本全半角错误。</explain>
      <paraID>55D0DC7C</paraID>
      <start>111</start>
      <end>112</end>
      <status>modified</status>
      <modifiedWord>，</modifiedWord>
      <trackRevisions>false</trackRevisions>
    </reviewItem>
    <reviewItem>
      <errorID>fb41f044-75c0-4974-a22b-0ab7b15a5e2e</errorID>
      <errorWord>..</errorWord>
      <group>L1_Punc</group>
      <groupName>标点问题</groupName>
      <ability>L2_Punc</ability>
      <abilityName>标点符号检查</abilityName>
      <candidateList>
        <item>.</item>
      </candidateList>
      <explain/>
      <paraID>55D0DC7C</paraID>
      <start>129</start>
      <end>130</end>
      <status>modified</status>
      <modifiedWord>.</modifiedWord>
      <trackRevisions>false</trackRevisions>
    </reviewItem>
    <reviewItem>
      <errorID>55ed6885-c6c2-4607-8323-30592c0b2e20</errorID>
      <errorWord>)</errorWord>
      <group>L1_Format</group>
      <groupName>格式问题</groupName>
      <ability>L2_HalfPunc</ability>
      <abilityName>全半角检查</abilityName>
      <candidateList>
        <item>）</item>
      </candidateList>
      <explain>文本全半角错误。</explain>
      <paraID>55D0DC7C</paraID>
      <start>213</start>
      <end>214</end>
      <status>modified</status>
      <modifiedWord>）</modifiedWord>
      <trackRevisions>false</trackRevisions>
    </reviewItem>
    <reviewItem>
      <errorID>5687b553-38cf-441b-8582-1797ae487084</errorID>
      <errorWord>)</errorWord>
      <group>L1_Format</group>
      <groupName>格式问题</groupName>
      <ability>L2_HalfPunc</ability>
      <abilityName>全半角检查</abilityName>
      <candidateList>
        <item>）</item>
      </candidateList>
      <explain>文本全半角错误。</explain>
      <paraID>55D0DC7C</paraID>
      <start>228</start>
      <end>229</end>
      <status>modified</status>
      <modifiedWord>）</modifiedWord>
      <trackRevisions>false</trackRevisions>
    </reviewItem>
    <reviewItem>
      <errorID>00b888a2-b8c2-44d2-94dc-62743c3dee32</errorID>
      <errorWord>:</errorWord>
      <group>L1_Format</group>
      <groupName>格式问题</groupName>
      <ability>L2_HalfPunc</ability>
      <abilityName>全半角检查</abilityName>
      <candidateList>
        <item>：</item>
      </candidateList>
      <explain>文本全半角错误。</explain>
      <paraID>55D0DC7C</paraID>
      <start>240</start>
      <end>241</end>
      <status>modified</status>
      <modifiedWord>：</modifiedWord>
      <trackRevisions>false</trackRevisions>
    </reviewItem>
    <reviewItem>
      <errorID>5d389902-bf70-4f56-906e-53795af3df24</errorID>
      <errorWord>,</errorWord>
      <group>L1_Format</group>
      <groupName>格式问题</groupName>
      <ability>L2_HalfPunc</ability>
      <abilityName>全半角检查</abilityName>
      <candidateList>
        <item>，</item>
      </candidateList>
      <explain>文本全半角错误。</explain>
      <paraID>55D0DC7C</paraID>
      <start>342</start>
      <end>343</end>
      <status>modified</status>
      <modifiedWord>，</modifiedWord>
      <trackRevisions>false</trackRevisions>
    </reviewItem>
    <reviewItem>
      <errorID>79ee4a1c-bcc4-4c9f-9567-849f46ec89a4</errorID>
      <errorWord>,</errorWord>
      <group>L1_Format</group>
      <groupName>格式问题</groupName>
      <ability>L2_HalfPunc</ability>
      <abilityName>全半角检查</abilityName>
      <candidateList>
        <item>，</item>
      </candidateList>
      <explain>文本全半角错误。</explain>
      <paraID>55D0DC7C</paraID>
      <start>353</start>
      <end>354</end>
      <status>modified</status>
      <modifiedWord>，</modifiedWord>
      <trackRevisions>false</trackRevisions>
    </reviewItem>
    <reviewItem>
      <errorID>70a113a4-7b98-4f8c-9460-a4bc60027965</errorID>
      <errorWord>,</errorWord>
      <group>L1_Format</group>
      <groupName>格式问题</groupName>
      <ability>L2_HalfPunc</ability>
      <abilityName>全半角检查</abilityName>
      <candidateList>
        <item>，</item>
      </candidateList>
      <explain>文本全半角错误。</explain>
      <paraID>55D0DC7C</paraID>
      <start>361</start>
      <end>362</end>
      <status>modified</status>
      <modifiedWord>，</modifiedWord>
      <trackRevisions>false</trackRevisions>
    </reviewItem>
    <reviewItem>
      <errorID>41b9e390-9ec9-4106-8950-3df9dadd136a</errorID>
      <errorWord>,</errorWord>
      <group>L1_Format</group>
      <groupName>格式问题</groupName>
      <ability>L2_HalfPunc</ability>
      <abilityName>全半角检查</abilityName>
      <candidateList>
        <item>，</item>
      </candidateList>
      <explain>文本全半角错误。</explain>
      <paraID>55D0DC7C</paraID>
      <start>372</start>
      <end>373</end>
      <status>modified</status>
      <modifiedWord>，</modifiedWord>
      <trackRevisions>false</trackRevisions>
    </reviewItem>
    <reviewItem>
      <errorID>2c17e0a8-9d1c-4b58-bdfb-d4c549370d08</errorID>
      <errorWord>,</errorWord>
      <group>L1_Format</group>
      <groupName>格式问题</groupName>
      <ability>L2_HalfPunc</ability>
      <abilityName>全半角检查</abilityName>
      <candidateList>
        <item>，</item>
      </candidateList>
      <explain>文本全半角错误。</explain>
      <paraID>55D0DC7C</paraID>
      <start>399</start>
      <end>400</end>
      <status>modified</status>
      <modifiedWord>，</modifiedWord>
      <trackRevisions>false</trackRevisions>
    </reviewItem>
    <reviewItem>
      <errorID>4486143a-7213-469a-8878-40fd2222f97e</errorID>
      <errorWord>,</errorWord>
      <group>L1_Format</group>
      <groupName>格式问题</groupName>
      <ability>L2_HalfPunc</ability>
      <abilityName>全半角检查</abilityName>
      <candidateList>
        <item>，</item>
      </candidateList>
      <explain>文本全半角错误。</explain>
      <paraID>55D0DC7C</paraID>
      <start>453</start>
      <end>454</end>
      <status>modified</status>
      <modifiedWord>，</modifiedWord>
      <trackRevisions>false</trackRevisions>
    </reviewItem>
    <reviewItem>
      <errorID>b29ebbcc-0467-4449-9ce3-c464b5e57c1f</errorID>
      <errorWord>:</errorWord>
      <group>L1_Format</group>
      <groupName>格式问题</groupName>
      <ability>L2_HalfPunc</ability>
      <abilityName>全半角检查</abilityName>
      <candidateList>
        <item>：</item>
      </candidateList>
      <explain>文本全半角错误。</explain>
      <paraID>3C5EB223</paraID>
      <start>156</start>
      <end>157</end>
      <status>modified</status>
      <modifiedWord>：</modifiedWord>
      <trackRevisions>false</trackRevisions>
    </reviewItem>
    <reviewItem>
      <errorID>c80f1962-b112-4b71-901a-6cbbbc5f1626</errorID>
      <errorWord>..</errorWord>
      <group>L1_Punc</group>
      <groupName>标点问题</groupName>
      <ability>L2_Punc</ability>
      <abilityName>标点符号检查</abilityName>
      <candidateList>
        <item>.</item>
      </candidateList>
      <explain/>
      <paraID>3C5EB223</paraID>
      <start>169</start>
      <end>170</end>
      <status>modified</status>
      <modifiedWord>.</modifiedWord>
      <trackRevisions>false</trackRevisions>
    </reviewItem>
    <reviewItem>
      <errorID>60d6d744-f9af-45d0-8d59-2df96c376e15</errorID>
      <errorWord>:</errorWord>
      <group>L1_Format</group>
      <groupName>格式问题</groupName>
      <ability>L2_HalfPunc</ability>
      <abilityName>全半角检查</abilityName>
      <candidateList>
        <item>：</item>
      </candidateList>
      <explain>文本全半角错误。</explain>
      <paraID>3C5EB223</paraID>
      <start>173</start>
      <end>174</end>
      <status>modified</status>
      <modifiedWord>：</modifiedWord>
      <trackRevisions>false</trackRevisions>
    </reviewItem>
    <reviewItem>
      <errorID>dfd6ae55-5fd8-40b6-ac55-1a2ff9d3de99</errorID>
      <errorWord>:</errorWord>
      <group>L1_Format</group>
      <groupName>格式问题</groupName>
      <ability>L2_HalfPunc</ability>
      <abilityName>全半角检查</abilityName>
      <candidateList>
        <item>：</item>
      </candidateList>
      <explain>文本全半角错误。</explain>
      <paraID>3C5EB223</paraID>
      <start>205</start>
      <end>206</end>
      <status>modified</status>
      <modifiedWord>：</modifiedWord>
      <trackRevisions>false</trackRevisions>
    </reviewItem>
    <reviewItem>
      <errorID>95d3b0e2-b9ac-401d-906d-38d27f901e9f</errorID>
      <errorWord>:</errorWord>
      <group>L1_Format</group>
      <groupName>格式问题</groupName>
      <ability>L2_HalfPunc</ability>
      <abilityName>全半角检查</abilityName>
      <candidateList>
        <item>：</item>
      </candidateList>
      <explain>文本全半角错误。</explain>
      <paraID>3C5EB223</paraID>
      <start>267</start>
      <end>268</end>
      <status>modified</status>
      <modifiedWord>：</modifiedWord>
      <trackRevisions>false</trackRevisions>
    </reviewItem>
    <reviewItem>
      <errorID>a315b67f-4e04-4353-8556-28c809775ff8</errorID>
      <errorWord>:</errorWord>
      <group>L1_Format</group>
      <groupName>格式问题</groupName>
      <ability>L2_HalfPunc</ability>
      <abilityName>全半角检查</abilityName>
      <candidateList>
        <item>：</item>
      </candidateList>
      <explain>文本全半角错误。</explain>
      <paraID>3C5EB223</paraID>
      <start>299</start>
      <end>300</end>
      <status>modified</status>
      <modifiedWord>：</modifiedWord>
      <trackRevisions>false</trackRevisions>
    </reviewItem>
    <reviewItem>
      <errorID>13ef11f3-e758-4e62-a546-b990866efa4c</errorID>
      <errorWord>,</errorWord>
      <group>L1_Format</group>
      <groupName>格式问题</groupName>
      <ability>L2_HalfPunc</ability>
      <abilityName>全半角检查</abilityName>
      <candidateList>
        <item>，</item>
      </candidateList>
      <explain>文本全半角错误。</explain>
      <paraID>3C5EB223</paraID>
      <start>418</start>
      <end>419</end>
      <status>modified</status>
      <modifiedWord>，</modifiedWord>
      <trackRevisions>false</trackRevisions>
    </reviewItem>
    <reviewItem>
      <errorID>baa8b595-6733-4780-b731-9e76e85263e7</errorID>
      <errorWord>:</errorWord>
      <group>L1_Format</group>
      <groupName>格式问题</groupName>
      <ability>L2_HalfPunc</ability>
      <abilityName>全半角检查</abilityName>
      <candidateList>
        <item>：</item>
      </candidateList>
      <explain>文本全半角错误。</explain>
      <paraID>623BBC10</paraID>
      <start>263</start>
      <end>264</end>
      <status>modified</status>
      <modifiedWord>：</modifiedWord>
      <trackRevisions>false</trackRevisions>
    </reviewItem>
    <reviewItem>
      <errorID>46a858de-22a2-406c-ab97-69a7536bd658</errorID>
      <errorWord>~</errorWord>
      <group>L1_Format</group>
      <groupName>格式问题</groupName>
      <ability>L2_HalfPunc</ability>
      <abilityName>全半角检查</abilityName>
      <candidateList>
        <item>～</item>
      </candidateList>
      <explain>文本全半角错误。</explain>
      <paraID>623BBC10</paraID>
      <start>385</start>
      <end>386</end>
      <status>modified</status>
      <modifiedWord>～</modifiedWord>
      <trackRevisions>false</trackRevisions>
    </reviewItem>
    <reviewItem>
      <errorID>e3f79701-def7-444b-8426-4050d87d1b28</errorID>
      <errorWord>~</errorWord>
      <group>L1_Format</group>
      <groupName>格式问题</groupName>
      <ability>L2_HalfPunc</ability>
      <abilityName>全半角检查</abilityName>
      <candidateList>
        <item>～</item>
      </candidateList>
      <explain>文本全半角错误。</explain>
      <paraID>623BBC10</paraID>
      <start>397</start>
      <end>398</end>
      <status>modified</status>
      <modifiedWord>～</modifiedWord>
      <trackRevisions>false</trackRevisions>
    </reviewItem>
    <reviewItem>
      <errorID>5bcc5fc6-c8a7-4078-adab-09d2e9fc18d5</errorID>
      <errorWord>:</errorWord>
      <group>L1_Format</group>
      <groupName>格式问题</groupName>
      <ability>L2_HalfPunc</ability>
      <abilityName>全半角检查</abilityName>
      <candidateList>
        <item>：</item>
      </candidateList>
      <explain>文本全半角错误。</explain>
      <paraID>623BBC10</paraID>
      <start>459</start>
      <end>460</end>
      <status>modified</status>
      <modifiedWord>：</modifiedWord>
      <trackRevisions>false</trackRevisions>
    </reviewItem>
    <reviewItem>
      <errorID>9719c22c-8676-43ec-9dfe-dc6342db51f9</errorID>
      <errorWord>)</errorWord>
      <group>L1_Format</group>
      <groupName>格式问题</groupName>
      <ability>L2_HalfPunc</ability>
      <abilityName>全半角检查</abilityName>
      <candidateList>
        <item>）</item>
      </candidateList>
      <explain>文本全半角错误。</explain>
      <paraID>623BBC10</paraID>
      <start>474</start>
      <end>475</end>
      <status>modified</status>
      <modifiedWord>）</modifiedWord>
      <trackRevisions>false</trackRevisions>
    </reviewItem>
    <reviewItem>
      <errorID>8e272464-3a8f-4226-82ec-3ffa414d2629</errorID>
      <errorWord>:</errorWord>
      <group>L1_Format</group>
      <groupName>格式问题</groupName>
      <ability>L2_HalfPunc</ability>
      <abilityName>全半角检查</abilityName>
      <candidateList>
        <item>：</item>
      </candidateList>
      <explain>文本全半角错误。</explain>
      <paraID>623BBC10</paraID>
      <start>478</start>
      <end>479</end>
      <status>modified</status>
      <modifiedWord>：</modifiedWord>
      <trackRevisions>false</trackRevisions>
    </reviewItem>
    <reviewItem>
      <errorID>f11e7ac3-9ba1-4472-9e17-1efb41e53ef0</errorID>
      <errorWord>)</errorWord>
      <group>L1_Format</group>
      <groupName>格式问题</groupName>
      <ability>L2_HalfPunc</ability>
      <abilityName>全半角检查</abilityName>
      <candidateList>
        <item>）</item>
      </candidateList>
      <explain>文本全半角错误。</explain>
      <paraID>623BBC10</paraID>
      <start>496</start>
      <end>497</end>
      <status>modified</status>
      <modifiedWord>）</modifiedWord>
      <trackRevisions>false</trackRevisions>
    </reviewItem>
    <reviewItem>
      <errorID>884833eb-ab62-4ef8-bf13-99b6bc6a75cd</errorID>
      <errorWord>：&gt;</errorWord>
      <group>L1_Punc</group>
      <groupName>标点问题</groupName>
      <ability>L2_Punc</ability>
      <abilityName>标点符号检查</abilityName>
      <candidateList>
        <item>：</item>
      </candidateList>
      <explain/>
      <paraID>623BBC10</paraID>
      <start>504</start>
      <end>505</end>
      <status>modified</status>
      <modifiedWord>：</modifiedWord>
      <trackRevisions>false</trackRevisions>
    </reviewItem>
    <reviewItem>
      <errorID>b2a9dce6-d0de-4170-a07f-0b7ab90f3aa5</errorID>
      <errorWord>、&gt;</errorWord>
      <group>L1_Punc</group>
      <groupName>标点问题</groupName>
      <ability>L2_Punc</ability>
      <abilityName>标点符号检查</abilityName>
      <candidateList>
        <item>、</item>
      </candidateList>
      <explain/>
      <paraID>623BBC10</paraID>
      <start>515</start>
      <end>516</end>
      <status>modified</status>
      <modifiedWord>、</modifiedWord>
      <trackRevisions>false</trackRevisions>
    </reviewItem>
    <reviewItem>
      <errorID>71c4cc4b-2c49-4598-a0a8-0d374b8d9395</errorID>
      <errorWord>)</errorWord>
      <group>L1_Format</group>
      <groupName>格式问题</groupName>
      <ability>L2_HalfPunc</ability>
      <abilityName>全半角检查</abilityName>
      <candidateList>
        <item>）</item>
      </candidateList>
      <explain>文本全半角错误。</explain>
      <paraID>623BBC10</paraID>
      <start>591</start>
      <end>592</end>
      <status>modified</status>
      <modifiedWord>）</modifiedWord>
      <trackRevisions>false</trackRevisions>
    </reviewItem>
    <reviewItem>
      <errorID>f9ec0dc6-00ed-421c-ac22-90bb52b36dd7</errorID>
      <errorWord>)</errorWord>
      <group>L1_Format</group>
      <groupName>格式问题</groupName>
      <ability>L2_HalfPunc</ability>
      <abilityName>全半角检查</abilityName>
      <candidateList>
        <item>）</item>
      </candidateList>
      <explain>文本全半角错误。</explain>
      <paraID>623BBC10</paraID>
      <start>606</start>
      <end>607</end>
      <status>modified</status>
      <modifiedWord>）</modifiedWord>
      <trackRevisions>false</trackRevisions>
    </reviewItem>
    <reviewItem>
      <errorID>6aa95f30-d626-44a9-a5eb-96374e4e1531</errorID>
      <errorWord>:</errorWord>
      <group>L1_Format</group>
      <groupName>格式问题</groupName>
      <ability>L2_HalfPunc</ability>
      <abilityName>全半角检查</abilityName>
      <candidateList>
        <item>：</item>
      </candidateList>
      <explain>文本全半角错误。</explain>
      <paraID>623BBC10</paraID>
      <start>622</start>
      <end>623</end>
      <status>modified</status>
      <modifiedWord>：</modifiedWord>
      <trackRevisions>false</trackRevisions>
    </reviewItem>
    <reviewItem>
      <errorID>d96e666a-32d7-4007-a122-28d9da991c0c</errorID>
      <errorWord>:</errorWord>
      <group>L1_Format</group>
      <groupName>格式问题</groupName>
      <ability>L2_HalfPunc</ability>
      <abilityName>全半角检查</abilityName>
      <candidateList>
        <item>：</item>
      </candidateList>
      <explain>文本全半角错误。</explain>
      <paraID> 632F1DD</paraID>
      <start>169</start>
      <end>170</end>
      <status>modified</status>
      <modifiedWord>：</modifiedWord>
      <trackRevisions>false</trackRevisions>
    </reviewItem>
    <reviewItem>
      <errorID>961ff440-3c32-4fe3-9fee-4b8ea07d315b</errorID>
      <errorWord>;</errorWord>
      <group>L1_Format</group>
      <groupName>格式问题</groupName>
      <ability>L2_HalfPunc</ability>
      <abilityName>全半角检查</abilityName>
      <candidateList>
        <item>；</item>
      </candidateList>
      <explain>文本全半角错误。</explain>
      <paraID> 632F1DD</paraID>
      <start>204</start>
      <end>205</end>
      <status>modified</status>
      <modifiedWord>；</modifiedWord>
      <trackRevisions>false</trackRevisions>
    </reviewItem>
    <reviewItem>
      <errorID>2b452df5-82d7-48be-96c1-2eaec69872e8</errorID>
      <errorWord>;</errorWord>
      <group>L1_Format</group>
      <groupName>格式问题</groupName>
      <ability>L2_HalfPunc</ability>
      <abilityName>全半角检查</abilityName>
      <candidateList>
        <item>；</item>
      </candidateList>
      <explain>文本全半角错误。</explain>
      <paraID> 632F1DD</paraID>
      <start>230</start>
      <end>231</end>
      <status>modified</status>
      <modifiedWord>；</modifiedWord>
      <trackRevisions>false</trackRevisions>
    </reviewItem>
    <reviewItem>
      <errorID>7f5373c1-8172-4eab-bed2-e9e928fab567</errorID>
      <errorWord>,</errorWord>
      <group>L1_Format</group>
      <groupName>格式问题</groupName>
      <ability>L2_HalfPunc</ability>
      <abilityName>全半角检查</abilityName>
      <candidateList>
        <item>，</item>
      </candidateList>
      <explain>文本全半角错误。</explain>
      <paraID> 632F1DD</paraID>
      <start>248</start>
      <end>249</end>
      <status>modified</status>
      <modifiedWord>，</modifiedWord>
      <trackRevisions>false</trackRevisions>
    </reviewItem>
    <reviewItem>
      <errorID>766712f4-7ede-4269-8c8e-39329c2cd0aa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6F2AD7F0</paraID>
      <start>0</start>
      <end>2</end>
      <status>modified</status>
      <modifiedWord>1.</modifiedWord>
      <trackRevisions>false</trackRevisions>
    </reviewItem>
    <reviewItem>
      <errorID>5afdd973-0146-49d3-a52e-1c5db6e6b9d8</errorID>
      <errorWord>)</errorWord>
      <group>L1_Format</group>
      <groupName>格式问题</groupName>
      <ability>L2_HalfPunc</ability>
      <abilityName>全半角检查</abilityName>
      <candidateList>
        <item>）</item>
      </candidateList>
      <explain>文本全半角错误。</explain>
      <paraID>35C3701F</paraID>
      <start>400</start>
      <end>401</end>
      <status>modified</status>
      <modifiedWord>）</modifiedWord>
      <trackRevisions>false</trackRevisions>
    </reviewItem>
    <reviewItem>
      <errorID>51650243-e928-4f1d-9ffe-f87564dbbd19</errorID>
      <errorWord>其它请求</errorWord>
      <group>L1_Word</group>
      <groupName>字词问题</groupName>
      <ability>L2_Alias</ability>
      <abilityName>也作/曾用词</abilityName>
      <candidateList>
        <item>其他请求</item>
      </candidateList>
      <explain>词汇[其它请求]为不规范表述或旧称，其规范书面表述为[其他请求]。</explain>
      <paraID>4E3E6E5B</paraID>
      <start>142</start>
      <end>146</end>
      <status>modified</status>
      <modifiedWord>其他请求</modifiedWord>
      <trackRevisions>false</trackRevisions>
    </reviewItem>
    <reviewItem>
      <errorID>9795edab-a92a-4c40-937d-0ca4a71f0dd1</errorID>
      <errorWord>)</errorWord>
      <group>L1_Format</group>
      <groupName>格式问题</groupName>
      <ability>L2_HalfPunc</ability>
      <abilityName>全半角检查</abilityName>
      <candidateList>
        <item>）</item>
      </candidateList>
      <explain>文本全半角错误。</explain>
      <paraID>4E3E6E5B</paraID>
      <start>282</start>
      <end>283</end>
      <status>modified</status>
      <modifiedWord>）</modifiedWord>
      <trackRevisions>false</trackRevisions>
    </reviewItem>
    <reviewItem>
      <errorID>5454b3f2-7aea-4fdd-bd9e-fddbf97398f2</errorID>
      <errorWord>)</errorWord>
      <group>L1_Format</group>
      <groupName>格式问题</groupName>
      <ability>L2_HalfPunc</ability>
      <abilityName>全半角检查</abilityName>
      <candidateList>
        <item>）</item>
      </candidateList>
      <explain>文本全半角错误。</explain>
      <paraID>4E3E6E5B</paraID>
      <start>291</start>
      <end>292</end>
      <status>modified</status>
      <modifiedWord>）</modifiedWord>
      <trackRevisions>false</trackRevisions>
    </reviewItem>
    <reviewItem>
      <errorID>c441ee18-27f0-44e2-b1b0-16badb49bf99</errorID>
      <errorWord>好</errorWord>
      <group>L1_Word</group>
      <groupName>字词问题</groupName>
      <ability>L2_Typo</ability>
      <abilityName>字词错误</abilityName>
      <candidateList>
        <item>好地</item>
      </candidateList>
      <explain/>
      <paraID>2E91D48C</paraID>
      <start>239</start>
      <end>241</end>
      <status>modified</status>
      <modifiedWord>好地</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EF609FE-8E92-4B90-A813-8D3AD74196E1}">
  <ds:schemaRefs/>
</ds:datastoreItem>
</file>

<file path=docProps/app.xml><?xml version="1.0" encoding="utf-8"?>
<Properties xmlns="http://schemas.openxmlformats.org/officeDocument/2006/extended-properties" xmlns:vt="http://schemas.openxmlformats.org/officeDocument/2006/docPropsVTypes">
  <Template>Normal</Template>
  <Pages>221</Pages>
  <Words>1985</Words>
  <Characters>3042</Characters>
  <Lines>1830</Lines>
  <Paragraphs>515</Paragraphs>
  <TotalTime>5</TotalTime>
  <ScaleCrop>false</ScaleCrop>
  <LinksUpToDate>false</LinksUpToDate>
  <CharactersWithSpaces>3427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2026-01-28T02:24:00Z</dcterms:created>
  <dc:creator>Administrator</dc:creator>
  <cp:lastModifiedBy>周辉宇</cp:lastModifiedBy>
  <cp:lastPrinted>2025-11-25T10:40:00Z</cp:lastPrinted>
  <dcterms:modified xsi:type="dcterms:W3CDTF">2026-05-21T07:24:46Z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4AA83F988A76405D98F6AF7598F7B5DE_13</vt:lpwstr>
  </property>
  <property fmtid="{D5CDD505-2E9C-101B-9397-08002B2CF9AE}" pid="4" name="KSOTemplateDocerSaveRecord">
    <vt:lpwstr>eyJoZGlkIjoiMDU1MzdhYjkwNjAzNjFmNjE5Nzc5NzU1NDAyNzAwNzAiLCJ1c2VySWQiOiI4MTY3MDk1NzEifQ==</vt:lpwstr>
  </property>
</Properties>
</file>